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D527" w14:textId="77777777" w:rsidR="00615D36" w:rsidRPr="00327788" w:rsidRDefault="00615D36" w:rsidP="007944DB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</w:p>
    <w:p w14:paraId="362BD3D0" w14:textId="77777777" w:rsidR="00615D36" w:rsidRPr="00327788" w:rsidRDefault="00615D36" w:rsidP="007944DB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</w:p>
    <w:p w14:paraId="5294C243" w14:textId="77777777" w:rsidR="00615D36" w:rsidRPr="00327788" w:rsidRDefault="00615D36" w:rsidP="007944DB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</w:p>
    <w:p w14:paraId="6F76DB40" w14:textId="4A69A967" w:rsidR="007944DB" w:rsidRPr="00327788" w:rsidRDefault="007944DB" w:rsidP="007944DB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  <w:r w:rsidRPr="00327788">
        <w:rPr>
          <w:rFonts w:ascii="Montserrat" w:hAnsi="Montserrat" w:cs="Arial"/>
          <w:color w:val="135666"/>
          <w:highlight w:val="magenta"/>
          <w:lang w:val="x-none" w:eastAsia="x-none"/>
        </w:rPr>
        <w:t>&lt;Tagesdatum&gt;</w:t>
      </w:r>
      <w:r w:rsidRPr="00327788">
        <w:rPr>
          <w:rFonts w:ascii="Montserrat" w:hAnsi="Montserrat" w:cs="Arial"/>
          <w:color w:val="135666"/>
          <w:lang w:val="x-none" w:eastAsia="x-none"/>
        </w:rPr>
        <w:t xml:space="preserve"> </w:t>
      </w:r>
    </w:p>
    <w:p w14:paraId="3DC6069C" w14:textId="77777777" w:rsidR="007944DB" w:rsidRPr="00327788" w:rsidRDefault="007944DB" w:rsidP="007944DB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val="x-none" w:eastAsia="x-none"/>
        </w:rPr>
      </w:pPr>
    </w:p>
    <w:p w14:paraId="4B7FC7D7" w14:textId="77777777" w:rsidR="005B1308" w:rsidRPr="00327788" w:rsidRDefault="005B1308" w:rsidP="005B130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u w:val="single"/>
          <w:lang w:val="x-none" w:eastAsia="x-none"/>
        </w:rPr>
      </w:pPr>
    </w:p>
    <w:p w14:paraId="563BF30D" w14:textId="205A97FC" w:rsidR="005B1308" w:rsidRPr="00327788" w:rsidRDefault="005B1308" w:rsidP="005B130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color w:val="135666"/>
          <w:lang w:eastAsia="x-none"/>
        </w:rPr>
      </w:pPr>
      <w:r w:rsidRPr="00327788">
        <w:rPr>
          <w:rFonts w:ascii="Montserrat" w:hAnsi="Montserrat" w:cs="Arial"/>
          <w:color w:val="135666"/>
          <w:u w:val="single"/>
          <w:lang w:val="x-none" w:eastAsia="x-none"/>
        </w:rPr>
        <w:t>Betreff</w:t>
      </w:r>
      <w:r w:rsidRPr="00327788">
        <w:rPr>
          <w:rFonts w:ascii="Montserrat" w:hAnsi="Montserrat" w:cs="Arial"/>
          <w:color w:val="135666"/>
          <w:lang w:val="x-none" w:eastAsia="x-none"/>
        </w:rPr>
        <w:t xml:space="preserve">: </w:t>
      </w:r>
      <w:r w:rsidRPr="00327788">
        <w:rPr>
          <w:rFonts w:ascii="Montserrat" w:hAnsi="Montserrat" w:cs="Arial"/>
          <w:b/>
          <w:bCs/>
          <w:color w:val="135666"/>
          <w:sz w:val="24"/>
          <w:szCs w:val="24"/>
          <w:lang w:val="x-none" w:eastAsia="x-none"/>
        </w:rPr>
        <w:t xml:space="preserve">Notwendigkeitsbescheinigung zur </w:t>
      </w:r>
      <w:r w:rsidR="0087418F" w:rsidRPr="00327788">
        <w:rPr>
          <w:rFonts w:ascii="Montserrat" w:hAnsi="Montserrat" w:cs="Arial"/>
          <w:b/>
          <w:bCs/>
          <w:color w:val="135666"/>
          <w:highlight w:val="magenta"/>
          <w:lang w:eastAsia="x-none"/>
        </w:rPr>
        <w:t>therapeutischen Apherese / Toxopherese</w:t>
      </w:r>
      <w:r w:rsidR="0087418F" w:rsidRPr="00327788">
        <w:rPr>
          <w:rFonts w:ascii="Montserrat" w:eastAsia="Times New Roman" w:hAnsi="Montserrat" w:cs="Arial"/>
          <w:b/>
          <w:bCs/>
          <w:color w:val="135666"/>
          <w:position w:val="6"/>
          <w:highlight w:val="magenta"/>
          <w:lang w:eastAsia="x-none"/>
        </w:rPr>
        <w:t>®</w:t>
      </w:r>
    </w:p>
    <w:p w14:paraId="3A9068B8" w14:textId="77777777" w:rsidR="00BD520E" w:rsidRPr="00327788" w:rsidRDefault="00BD520E" w:rsidP="00BD52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eastAsia="Times New Roman" w:hAnsi="Montserrat" w:cs="Arial"/>
          <w:b/>
          <w:bCs/>
          <w:color w:val="135666"/>
          <w:lang w:eastAsia="de-DE"/>
        </w:rPr>
      </w:pPr>
    </w:p>
    <w:p w14:paraId="6970C862" w14:textId="77777777" w:rsidR="005B1308" w:rsidRPr="00327788" w:rsidRDefault="005B1308" w:rsidP="00BD52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eastAsia="Times New Roman" w:hAnsi="Montserrat" w:cs="Arial"/>
          <w:b/>
          <w:bCs/>
          <w:color w:val="135666"/>
          <w:lang w:eastAsia="de-DE"/>
        </w:rPr>
      </w:pPr>
    </w:p>
    <w:p w14:paraId="530AC6CB" w14:textId="77777777" w:rsidR="005B1308" w:rsidRPr="00327788" w:rsidRDefault="005B1308" w:rsidP="00BD52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eastAsia="Times New Roman" w:hAnsi="Montserrat" w:cs="Arial"/>
          <w:b/>
          <w:bCs/>
          <w:color w:val="135666"/>
          <w:lang w:eastAsia="de-DE"/>
        </w:rPr>
      </w:pPr>
    </w:p>
    <w:p w14:paraId="069CE732" w14:textId="26C447FF" w:rsidR="00BD520E" w:rsidRPr="00327788" w:rsidRDefault="00BD520E" w:rsidP="00BD52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eastAsia="Times New Roman" w:hAnsi="Montserrat" w:cs="Arial"/>
          <w:b/>
          <w:bCs/>
          <w:color w:val="135666"/>
          <w:lang w:eastAsia="de-DE"/>
        </w:rPr>
      </w:pPr>
      <w:r w:rsidRPr="00327788">
        <w:rPr>
          <w:rFonts w:ascii="Montserrat" w:eastAsia="Times New Roman" w:hAnsi="Montserrat" w:cs="Arial"/>
          <w:b/>
          <w:bCs/>
          <w:color w:val="135666"/>
          <w:lang w:eastAsia="de-DE"/>
        </w:rPr>
        <w:t>Ärztliche Bescheinigung</w:t>
      </w:r>
    </w:p>
    <w:p w14:paraId="4C5E1FF0" w14:textId="77777777" w:rsidR="00BD520E" w:rsidRPr="00327788" w:rsidRDefault="00BD520E" w:rsidP="00BD52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color w:val="135666"/>
          <w:lang w:eastAsia="de-DE"/>
        </w:rPr>
      </w:pPr>
    </w:p>
    <w:p w14:paraId="51FC0B8F" w14:textId="77777777" w:rsidR="00BD520E" w:rsidRPr="00327788" w:rsidRDefault="00BD520E" w:rsidP="00BD52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Zur Notwendigkeit der Durchf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ührung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der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therapeutischen Apherese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als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ultima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ratio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Therapie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bei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komplexer, mit „Standardtherapie“ nicht effektiv zu behandelnder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chronisch inflammatorischer Multi-Systemerkrankung zur Vorlage bei der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Krankenversicherung</w:t>
      </w:r>
    </w:p>
    <w:p w14:paraId="0A5F9EEC" w14:textId="77777777" w:rsidR="00BD520E" w:rsidRPr="00327788" w:rsidRDefault="00BD520E" w:rsidP="00BD520E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</w:p>
    <w:p w14:paraId="3B575573" w14:textId="58568600" w:rsidR="00BD520E" w:rsidRPr="00327788" w:rsidRDefault="00BD520E" w:rsidP="00BD520E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ür:</w:t>
      </w:r>
    </w:p>
    <w:p w14:paraId="2075FB7D" w14:textId="77777777" w:rsidR="00BD520E" w:rsidRPr="00327788" w:rsidRDefault="00BD520E" w:rsidP="00BD520E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327788">
        <w:rPr>
          <w:rFonts w:ascii="Montserrat" w:hAnsi="Montserrat" w:cs="Arial"/>
          <w:color w:val="135666"/>
          <w:highlight w:val="magenta"/>
          <w:lang w:eastAsia="de-DE"/>
        </w:rPr>
        <w:t xml:space="preserve">&lt;Patientenadresse Vorname&gt; </w:t>
      </w:r>
    </w:p>
    <w:p w14:paraId="693DB4A9" w14:textId="77777777" w:rsidR="00BD520E" w:rsidRPr="00327788" w:rsidRDefault="00BD520E" w:rsidP="00BD520E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highlight w:val="magenta"/>
          <w:lang w:eastAsia="de-DE"/>
        </w:rPr>
      </w:pPr>
      <w:r w:rsidRPr="00327788">
        <w:rPr>
          <w:rFonts w:ascii="Montserrat" w:hAnsi="Montserrat" w:cs="Arial"/>
          <w:color w:val="135666"/>
          <w:highlight w:val="magenta"/>
          <w:lang w:eastAsia="de-DE"/>
        </w:rPr>
        <w:t xml:space="preserve">&lt;Patientenadresse Name&gt; </w:t>
      </w:r>
    </w:p>
    <w:p w14:paraId="7F48B7D1" w14:textId="77777777" w:rsidR="00BD520E" w:rsidRPr="00327788" w:rsidRDefault="00BD520E" w:rsidP="00BD520E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highlight w:val="magenta"/>
          <w:lang w:eastAsia="de-DE"/>
        </w:rPr>
      </w:pPr>
      <w:r w:rsidRPr="00327788">
        <w:rPr>
          <w:rFonts w:ascii="Montserrat" w:hAnsi="Montserrat" w:cs="Arial"/>
          <w:color w:val="135666"/>
          <w:highlight w:val="magenta"/>
          <w:lang w:eastAsia="de-DE"/>
        </w:rPr>
        <w:t>&lt;Patientenadresse&gt;</w:t>
      </w:r>
    </w:p>
    <w:p w14:paraId="23C0D9DE" w14:textId="77777777" w:rsidR="00BD520E" w:rsidRPr="00327788" w:rsidRDefault="00BD520E" w:rsidP="00BD520E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highlight w:val="magenta"/>
          <w:lang w:eastAsia="de-DE"/>
        </w:rPr>
        <w:t>geb.:&lt; Geburtsdatum&gt;</w:t>
      </w:r>
      <w:r w:rsidRPr="00327788">
        <w:rPr>
          <w:rFonts w:ascii="Montserrat" w:hAnsi="Montserrat" w:cs="Arial"/>
          <w:color w:val="135666"/>
          <w:lang w:eastAsia="de-DE"/>
        </w:rPr>
        <w:t xml:space="preserve">    </w:t>
      </w:r>
    </w:p>
    <w:p w14:paraId="654B336B" w14:textId="3C868C13" w:rsidR="000A159B" w:rsidRPr="00327788" w:rsidRDefault="000A159B" w:rsidP="000A159B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b/>
          <w:bCs/>
          <w:color w:val="135666"/>
          <w:sz w:val="24"/>
          <w:szCs w:val="24"/>
          <w:lang w:val="x-none" w:eastAsia="x-none"/>
        </w:rPr>
      </w:pPr>
    </w:p>
    <w:p w14:paraId="2126C452" w14:textId="77777777" w:rsidR="005B1308" w:rsidRPr="00327788" w:rsidRDefault="005B1308" w:rsidP="000A159B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b/>
          <w:bCs/>
          <w:color w:val="135666"/>
          <w:sz w:val="24"/>
          <w:szCs w:val="24"/>
          <w:lang w:val="x-none" w:eastAsia="x-none"/>
        </w:rPr>
      </w:pPr>
    </w:p>
    <w:p w14:paraId="41576175" w14:textId="0EAE7ACD" w:rsidR="005B1308" w:rsidRPr="00327788" w:rsidRDefault="005B1308" w:rsidP="005B1308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val="x-none" w:eastAsia="x-none"/>
        </w:rPr>
      </w:pPr>
      <w:r w:rsidRPr="00327788">
        <w:rPr>
          <w:rFonts w:ascii="Montserrat" w:hAnsi="Montserrat" w:cs="Arial"/>
          <w:color w:val="135666"/>
          <w:highlight w:val="magenta"/>
          <w:lang w:val="x-none" w:eastAsia="x-none"/>
        </w:rPr>
        <w:t>&lt;</w:t>
      </w:r>
      <w:proofErr w:type="spellStart"/>
      <w:r w:rsidRPr="00327788">
        <w:rPr>
          <w:rFonts w:ascii="Montserrat" w:hAnsi="Montserrat" w:cs="Arial"/>
          <w:color w:val="135666"/>
          <w:highlight w:val="magenta"/>
          <w:lang w:val="x-none" w:eastAsia="x-none"/>
        </w:rPr>
        <w:t>Rechnungsemp</w:t>
      </w:r>
      <w:r w:rsidRPr="00327788">
        <w:rPr>
          <w:rFonts w:ascii="Montserrat" w:hAnsi="Montserrat" w:cs="Arial"/>
          <w:color w:val="135666"/>
          <w:highlight w:val="magenta"/>
          <w:lang w:eastAsia="x-none"/>
        </w:rPr>
        <w:t>f</w:t>
      </w:r>
      <w:r w:rsidRPr="00327788">
        <w:rPr>
          <w:rFonts w:ascii="Montserrat" w:eastAsia="Times New Roman" w:hAnsi="Montserrat" w:cs="Arial"/>
          <w:color w:val="135666"/>
          <w:highlight w:val="magenta"/>
          <w:lang w:val="x-none" w:eastAsia="x-none"/>
        </w:rPr>
        <w:t>änger</w:t>
      </w:r>
      <w:proofErr w:type="spellEnd"/>
      <w:r w:rsidRPr="00327788">
        <w:rPr>
          <w:rFonts w:ascii="Montserrat" w:eastAsia="Times New Roman" w:hAnsi="Montserrat" w:cs="Arial"/>
          <w:color w:val="135666"/>
          <w:highlight w:val="magenta"/>
          <w:lang w:eastAsia="x-none"/>
        </w:rPr>
        <w:t xml:space="preserve"> / </w:t>
      </w:r>
      <w:r w:rsidRPr="00327788">
        <w:rPr>
          <w:rFonts w:ascii="Montserrat" w:eastAsia="Times New Roman" w:hAnsi="Montserrat" w:cs="Arial"/>
          <w:color w:val="135666"/>
          <w:highlight w:val="magenta"/>
          <w:lang w:val="x-none" w:eastAsia="x-none"/>
        </w:rPr>
        <w:t>Briefanrede&gt;</w:t>
      </w:r>
      <w:r w:rsidRPr="00327788">
        <w:rPr>
          <w:rFonts w:ascii="Montserrat" w:hAnsi="Montserrat" w:cs="Arial"/>
          <w:color w:val="135666"/>
          <w:lang w:val="x-none" w:eastAsia="x-none"/>
        </w:rPr>
        <w:t xml:space="preserve"> </w:t>
      </w:r>
    </w:p>
    <w:p w14:paraId="1A485729" w14:textId="75F1D024" w:rsidR="00BD520E" w:rsidRPr="00327788" w:rsidRDefault="000C15E3" w:rsidP="00BD520E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/>
          <w:noProof/>
          <w:color w:val="13566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3D849" wp14:editId="68996C8E">
                <wp:simplePos x="0" y="0"/>
                <wp:positionH relativeFrom="column">
                  <wp:posOffset>-228599</wp:posOffset>
                </wp:positionH>
                <wp:positionV relativeFrom="paragraph">
                  <wp:posOffset>143510</wp:posOffset>
                </wp:positionV>
                <wp:extent cx="6737711" cy="2278519"/>
                <wp:effectExtent l="0" t="1638300" r="0" b="16332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D271C" w14:textId="77777777" w:rsidR="000C15E3" w:rsidRPr="009D31BA" w:rsidRDefault="000C15E3" w:rsidP="000C15E3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3D84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8pt;margin-top:11.3pt;width:530.5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wOJGgIAADMEAAAOAAAAZHJzL2Uyb0RvYy54bWysU1Fv2jAQfp+0/2D5fYRkUCAiVKwV06Sq&#13;&#10;rUSnPhvHJpEcn2cbEvbrd3YCZd2epr1Y57vT57vv+7y87RpFjsK6GnRB09GYEqE5lLXeF/T7y+bT&#13;&#10;nBLnmS6ZAi0KehKO3q4+fli2JhcZVKBKYQmCaJe3pqCV9yZPEscr0TA3AiM0FiXYhnm82n1SWtYi&#13;&#10;eqOSbDy+SVqwpbHAhXOYve+LdBXxpRTcP0nphCeqoDibj6eN5y6cyWrJ8r1lpqr5MAb7hykaVmt8&#13;&#10;9AJ1zzwjB1v/AdXU3IID6UccmgSkrLmIO+A26fjdNtuKGRF3QXKcudDk/h8sfzxuzbMlvvsCHQoY&#13;&#10;CGmNyx0mwz6dtA2xgLyli+l0Os/mcU0cnGA7Mnq6sCg6Tzgmb2afZ7M0pYRjLctm82m6CLBJjxZQ&#13;&#10;jXX+q4CGhKCgFmWKsOz44Hzfem4J7Ro2tVJRKqV/SyBmyCRvI4fId7tu2GMH5QnXixvgtM7wTY1v&#13;&#10;PjDnn5lFqTGJ9vVPeEgFbUFhiCipwP78Wz70owJYpaRF6xTU/TgwKyhR3zRqs0gnk+C1eJlMZxle&#13;&#10;7HVld13Rh+YO0J1IGE4Xw9Dv1TmUFppXdPk6vIolpjm+XVB/Du98b2j8JVys17EJ3WWYf9BbwwP0&#13;&#10;mfSX7pVZM9DuUbFHOJuM5e/Y73t7utcHD7KO0gSCe1YH3tGZUdzhFwXrX99j19tfX/0CAAD//wMA&#13;&#10;UEsDBBQABgAIAAAAIQCzPcfD5gAAABABAAAPAAAAZHJzL2Rvd25yZXYueG1sTI9PS8NAEMXvgt9h&#13;&#10;GcFbu0mqoaaZlKIoFHoxRulxmx2zwf0Tsts2/fZuT3oZeMzMe+9Xriej2YlG3zuLkM4TYGRbJ3vb&#13;&#10;ITQfr7MlMB+ElUI7SwgX8rCubm9KUUh3tu90qkPHoon1hUBQIQwF575VZISfu4Fs3H270YgQ5dhx&#13;&#10;OYpzNDeaZ0mScyN6GxOUGOhZUftTHw2CVmr82vLmc7Orp13j3572+yYg3t9NL6s4Nitggabw9wFX&#13;&#10;htgfqljs4I5WeqYRZos8AgWELMuBXQ+S7DEFdkBYLNMH4FXJ/4NUvwAAAP//AwBQSwECLQAUAAYA&#13;&#10;CAAAACEAtoM4kv4AAADhAQAAEwAAAAAAAAAAAAAAAAAAAAAAW0NvbnRlbnRfVHlwZXNdLnhtbFBL&#13;&#10;AQItABQABgAIAAAAIQA4/SH/1gAAAJQBAAALAAAAAAAAAAAAAAAAAC8BAABfcmVscy8ucmVsc1BL&#13;&#10;AQItABQABgAIAAAAIQBcNwOJGgIAADMEAAAOAAAAAAAAAAAAAAAAAC4CAABkcnMvZTJvRG9jLnht&#13;&#10;bFBLAQItABQABgAIAAAAIQCzPcfD5gAAABABAAAPAAAAAAAAAAAAAAAAAHQEAABkcnMvZG93bnJl&#13;&#10;di54bWxQSwUGAAAAAAQABADzAAAAhwUAAAAA&#13;&#10;" filled="f" stroked="f">
                <v:textbox>
                  <w:txbxContent>
                    <w:p w14:paraId="136D271C" w14:textId="77777777" w:rsidR="000C15E3" w:rsidRPr="009D31BA" w:rsidRDefault="000C15E3" w:rsidP="000C15E3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9D31BA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</w:p>
    <w:p w14:paraId="1055B93F" w14:textId="508940C4" w:rsidR="000A159B" w:rsidRPr="00327788" w:rsidRDefault="005B1308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n</w:t>
      </w:r>
      <w:r w:rsidR="000A159B" w:rsidRPr="00327788">
        <w:rPr>
          <w:rFonts w:ascii="Montserrat" w:hAnsi="Montserrat" w:cs="Arial"/>
          <w:color w:val="135666"/>
          <w:lang w:eastAsia="de-DE"/>
        </w:rPr>
        <w:t>ach ausf</w:t>
      </w:r>
      <w:r w:rsidR="000A159B" w:rsidRPr="00327788">
        <w:rPr>
          <w:rFonts w:ascii="Montserrat" w:eastAsia="Times New Roman" w:hAnsi="Montserrat" w:cs="Arial"/>
          <w:color w:val="135666"/>
          <w:lang w:eastAsia="de-DE"/>
        </w:rPr>
        <w:t>ührlicher Analyse aller bisherigen Arztberichte und Behandlungsunterlagen, einer ausführlichen Anamneseerhebung nebst Ganzkörperuntersuchung, anschließenden Laborkontrollen sowie und der langjährigen, erfolglosen Vorbehandlung Ihres Krankheitsbildes ist folgender Sachverhalt zu dokumentieren:</w:t>
      </w:r>
    </w:p>
    <w:p w14:paraId="43B06461" w14:textId="17A910DB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Fr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ühere Behandlungsversuche mit sog. „Standardtherapien“ haben nur vorübergehend zu leichten, aber nicht nachhaltigen Verbesserungen / Remission des bei Ihnen vorliegenden, </w:t>
      </w:r>
      <w:r w:rsidRPr="00327788">
        <w:rPr>
          <w:rFonts w:ascii="Montserrat" w:hAnsi="Montserrat" w:cs="Arial"/>
          <w:color w:val="135666"/>
          <w:lang w:eastAsia="de-DE"/>
        </w:rPr>
        <w:t>komplexen klinischen Bildes geführt, so da</w:t>
      </w:r>
      <w:r w:rsidR="00615D36" w:rsidRPr="00327788">
        <w:rPr>
          <w:rFonts w:ascii="Montserrat" w:hAnsi="Montserrat" w:cs="Arial"/>
          <w:color w:val="135666"/>
          <w:lang w:eastAsia="de-DE"/>
        </w:rPr>
        <w:t>ss</w:t>
      </w:r>
      <w:r w:rsidRPr="00327788">
        <w:rPr>
          <w:rFonts w:ascii="Montserrat" w:hAnsi="Montserrat" w:cs="Arial"/>
          <w:color w:val="135666"/>
          <w:lang w:eastAsia="de-DE"/>
        </w:rPr>
        <w:t xml:space="preserve"> davon auszugehen ist, dass insgesamt eine </w:t>
      </w:r>
    </w:p>
    <w:p w14:paraId="7D162DD1" w14:textId="6FC2161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b/>
          <w:bCs/>
          <w:color w:val="135666"/>
          <w:lang w:eastAsia="de-DE"/>
        </w:rPr>
        <w:t>medizinische Sondersituation</w:t>
      </w:r>
      <w:r w:rsidRPr="00327788">
        <w:rPr>
          <w:rFonts w:ascii="Montserrat" w:hAnsi="Montserrat" w:cs="Arial"/>
          <w:color w:val="135666"/>
          <w:lang w:eastAsia="de-DE"/>
        </w:rPr>
        <w:t xml:space="preserve"> vorliegt. </w:t>
      </w:r>
    </w:p>
    <w:p w14:paraId="23AA4546" w14:textId="77777777" w:rsidR="00615D36" w:rsidRPr="00327788" w:rsidRDefault="00615D36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03C7D103" w14:textId="39B65A12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 xml:space="preserve">Somit ist die Indikation zur Behandlung im Sinne eines Heil-und Behandlungsversuches gemäß BVerfG, 1 BvR 347/98 vom 6.12.2005, Absatz-Nr. 1 - 69 in Verbindung mit Art. 1 Abs. 1 GG, Art. 2 Abs. 2 GG sowie Art. 5 Abs. 3 GG mittels der therapeutischen Apherese als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ultima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ratio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Therapie bei einer komplexen, chronisch inflammatorischen Multisystemerkrankung mit progressiv lebenszerst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örendem bzw. massiv lebensqualitätseinschränkendem Charakter zu stellen und durchzuführen.</w:t>
      </w:r>
    </w:p>
    <w:p w14:paraId="23AA1B6F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4FEB45C5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highlight w:val="magenta"/>
          <w:lang w:eastAsia="de-DE"/>
        </w:rPr>
      </w:pPr>
      <w:r w:rsidRPr="00327788">
        <w:rPr>
          <w:rFonts w:ascii="Montserrat" w:hAnsi="Montserrat" w:cs="Arial"/>
          <w:color w:val="135666"/>
          <w:highlight w:val="magenta"/>
          <w:lang w:eastAsia="de-DE"/>
        </w:rPr>
        <w:t>Die bisherigen Arbeits-Diagnosen lauten nach Stand medizinischer Wissenschaft:</w:t>
      </w:r>
    </w:p>
    <w:p w14:paraId="0FE0653F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highlight w:val="magenta"/>
          <w:lang w:eastAsia="de-DE"/>
        </w:rPr>
        <w:t>&lt;Patienten Aufnahmediagnose&gt;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</w:p>
    <w:p w14:paraId="2E98CAB9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36A5F4D2" w14:textId="08EB8DBF" w:rsidR="000A159B" w:rsidRPr="00327788" w:rsidRDefault="000A159B" w:rsidP="000A159B">
      <w:pPr>
        <w:widowControl w:val="0"/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ür diese komplexe genetische gentisch-metabolische-immunologische Situation gibt es kein Konzept der bekannten evidenzbasierten „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medicina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ex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cathera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>“</w:t>
      </w:r>
      <w:r w:rsidR="00615D36" w:rsidRPr="00327788">
        <w:rPr>
          <w:rFonts w:ascii="Montserrat" w:eastAsia="Times New Roman" w:hAnsi="Montserrat" w:cs="Arial"/>
          <w:color w:val="135666"/>
          <w:lang w:eastAsia="de-DE"/>
        </w:rPr>
        <w:t>.</w:t>
      </w:r>
    </w:p>
    <w:p w14:paraId="17ADFF6C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092C91A1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lastRenderedPageBreak/>
        <w:t>Eben aus diesem Grunde wird bei komplexer, nicht konservativ l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ösbarer Situation, die evidenzbasierte therapeutische Apherese (=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medicina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ex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cathetra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des 21. Jahrhunderts) nun beantragt.</w:t>
      </w:r>
    </w:p>
    <w:p w14:paraId="0DDB743B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3706AB63" w14:textId="4FA99D3F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eastAsia="Times New Roman" w:hAnsi="Montserrat" w:cs="Arial"/>
          <w:color w:val="135666"/>
          <w:lang w:eastAsia="de-DE"/>
        </w:rPr>
        <w:t>Ihre klinische Situation</w:t>
      </w:r>
      <w:r w:rsidR="00615D36" w:rsidRPr="00327788">
        <w:rPr>
          <w:rFonts w:ascii="Montserrat" w:eastAsia="Times New Roman" w:hAnsi="Montserrat" w:cs="Arial"/>
          <w:color w:val="135666"/>
          <w:lang w:eastAsia="de-DE"/>
        </w:rPr>
        <w:t>,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sowie die gestellten Diagnosen bzw. nachgewiesenen Ursachen sind mit folgenden, vom gemeinsamen Bundesausschuss zur Apherese zugelassenen Krankheitsbildern in allen Auswirkungen vergleichbar:</w:t>
      </w:r>
    </w:p>
    <w:p w14:paraId="15E9D866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471F75F4" w14:textId="1B0A0BD3" w:rsidR="000A159B" w:rsidRPr="00F410BD" w:rsidRDefault="000A159B" w:rsidP="00F410BD">
      <w:pPr>
        <w:pStyle w:val="Listenabsatz"/>
        <w:widowControl w:val="0"/>
        <w:numPr>
          <w:ilvl w:val="0"/>
          <w:numId w:val="6"/>
        </w:numPr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proofErr w:type="spellStart"/>
      <w:r w:rsidRPr="00F410BD">
        <w:rPr>
          <w:rFonts w:ascii="Montserrat" w:hAnsi="Montserrat" w:cs="Arial"/>
          <w:color w:val="135666"/>
          <w:lang w:eastAsia="de-DE"/>
        </w:rPr>
        <w:t>homocygote</w:t>
      </w:r>
      <w:proofErr w:type="spellEnd"/>
      <w:r w:rsidRPr="00F410BD">
        <w:rPr>
          <w:rFonts w:ascii="Montserrat" w:hAnsi="Montserrat" w:cs="Arial"/>
          <w:color w:val="135666"/>
          <w:lang w:eastAsia="de-DE"/>
        </w:rPr>
        <w:t>/</w:t>
      </w:r>
      <w:proofErr w:type="spellStart"/>
      <w:r w:rsidRPr="00F410BD">
        <w:rPr>
          <w:rFonts w:ascii="Montserrat" w:hAnsi="Montserrat" w:cs="Arial"/>
          <w:color w:val="135666"/>
          <w:lang w:eastAsia="de-DE"/>
        </w:rPr>
        <w:t>heterocygote</w:t>
      </w:r>
      <w:proofErr w:type="spellEnd"/>
      <w:r w:rsidRPr="00F410BD">
        <w:rPr>
          <w:rFonts w:ascii="Montserrat" w:hAnsi="Montserrat" w:cs="Arial"/>
          <w:color w:val="135666"/>
          <w:lang w:eastAsia="de-DE"/>
        </w:rPr>
        <w:t xml:space="preserve"> famili</w:t>
      </w:r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äre Hypercholesterinämie, auf CSE-Hemmer-Therapie refraktär bzw.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mit unter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 CSE-Hemmer-Therapie aufgetretenen schweren Nebenwirkungen (Muskeldystrophie/Rhabdomyolyse/Fibromyalgie/Hämolyse) mit den klinischen Bildern: vorzeitige Arteriosklerose, vorzeitiger Schlaganfall, Herzinfarkt, Nierenversagen</w:t>
      </w:r>
    </w:p>
    <w:p w14:paraId="269B9DF5" w14:textId="77777777" w:rsidR="00F410BD" w:rsidRDefault="00F410BD" w:rsidP="000A159B">
      <w:pPr>
        <w:widowControl w:val="0"/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1CFCF4A0" w14:textId="291018D5" w:rsidR="000A159B" w:rsidRPr="00F410BD" w:rsidRDefault="000A159B" w:rsidP="00F410BD">
      <w:pPr>
        <w:pStyle w:val="Listenabsatz"/>
        <w:widowControl w:val="0"/>
        <w:numPr>
          <w:ilvl w:val="0"/>
          <w:numId w:val="6"/>
        </w:numPr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isolierte familiäre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Lp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>(a)-Hyper-/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Dyslipoproteinämie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 mit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Z.n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. nach vorzeitigem Myokardinfarkt / plötzlichem Herztod mit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Z.n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>. Reanimation/Schlaganfall/Nierenversagen, und familiäre Belastung derselben damit</w:t>
      </w:r>
    </w:p>
    <w:p w14:paraId="2F414F94" w14:textId="77777777" w:rsidR="000A159B" w:rsidRPr="00327788" w:rsidRDefault="000A159B" w:rsidP="000A159B">
      <w:pPr>
        <w:widowControl w:val="0"/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7796B61B" w14:textId="0CF0AE37" w:rsidR="000A159B" w:rsidRPr="00F410BD" w:rsidRDefault="000A159B" w:rsidP="00F410BD">
      <w:pPr>
        <w:pStyle w:val="Listenabsatz"/>
        <w:widowControl w:val="0"/>
        <w:numPr>
          <w:ilvl w:val="0"/>
          <w:numId w:val="6"/>
        </w:numPr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schwere, auf Chemotherapie jedweder Art refraktäre rheumatoide Arthritis bzw. schwerste Nebenwirkungen auf Chemotherapie</w:t>
      </w:r>
    </w:p>
    <w:p w14:paraId="6BD525BD" w14:textId="77777777" w:rsidR="000A159B" w:rsidRPr="00327788" w:rsidRDefault="000A159B" w:rsidP="000A159B">
      <w:pPr>
        <w:widowControl w:val="0"/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6B15AE48" w14:textId="24B39C6E" w:rsidR="000A159B" w:rsidRPr="00F410BD" w:rsidRDefault="000A159B" w:rsidP="00F410BD">
      <w:pPr>
        <w:pStyle w:val="Listenabsatz"/>
        <w:widowControl w:val="0"/>
        <w:numPr>
          <w:ilvl w:val="0"/>
          <w:numId w:val="6"/>
        </w:numPr>
        <w:tabs>
          <w:tab w:val="left" w:pos="1140"/>
          <w:tab w:val="left" w:pos="5970"/>
          <w:tab w:val="left" w:pos="651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Versagen konservativer Schmerztherapien (oral, per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injectionem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, per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infusionem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>, mittels CT-gesteuerter Infiltrationen)</w:t>
      </w:r>
    </w:p>
    <w:p w14:paraId="39CBEC47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5F343DD4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Somit liegt, in Bezug auf die auf anamnestische, klinische und laborchemische Daten gest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ützte, auf Sie bezogene Datenlage, eine begründete Möglichkeit und eine nicht ganz fern liegende Aussicht vor, durch die Therapie mit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Doppelmembranfiltrationsapherese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Genesung oder wenigstens eine spürbare positive Einwirkung auf den Krankheitsverlauf zu erreichen.</w:t>
      </w:r>
    </w:p>
    <w:p w14:paraId="7234C647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6DA790F2" w14:textId="0A68CB99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Helvetica"/>
          <w:color w:val="135666"/>
          <w:lang w:eastAsia="de-DE"/>
        </w:rPr>
      </w:pPr>
      <w:r w:rsidRPr="00327788">
        <w:rPr>
          <w:rFonts w:ascii="Montserrat" w:hAnsi="Montserrat" w:cs="Helvetica"/>
          <w:color w:val="135666"/>
          <w:lang w:eastAsia="de-DE"/>
        </w:rPr>
        <w:t>Es sei darauf verwiesen, dass das Bundesverfassungsgericht in seinen Orientierungss</w:t>
      </w:r>
      <w:r w:rsidRPr="00327788">
        <w:rPr>
          <w:rFonts w:ascii="Montserrat" w:eastAsia="Times New Roman" w:hAnsi="Montserrat" w:cs="Helvetica"/>
          <w:color w:val="135666"/>
          <w:lang w:eastAsia="de-DE"/>
        </w:rPr>
        <w:t>ätzen zum Nikolausurteil ausdrücklich formuliert, dass Maßstab für die Beurteilung der Verfassungsmäßigkeit des Leistungsrechts das Grundrecht auf Leben und „körperliche Unversehrtheit" ist (</w:t>
      </w:r>
      <w:proofErr w:type="spellStart"/>
      <w:r w:rsidRPr="00327788">
        <w:rPr>
          <w:rFonts w:ascii="Montserrat" w:eastAsia="Times New Roman" w:hAnsi="Montserrat" w:cs="Helvetica"/>
          <w:color w:val="135666"/>
          <w:lang w:eastAsia="de-DE"/>
        </w:rPr>
        <w:t>Rn</w:t>
      </w:r>
      <w:proofErr w:type="spellEnd"/>
      <w:r w:rsidRPr="00327788">
        <w:rPr>
          <w:rFonts w:ascii="Montserrat" w:eastAsia="Times New Roman" w:hAnsi="Montserrat" w:cs="Helvetica"/>
          <w:color w:val="135666"/>
          <w:lang w:eastAsia="de-DE"/>
        </w:rPr>
        <w:t xml:space="preserve"> 55 der amtlichen Fassung in </w:t>
      </w:r>
      <w:hyperlink r:id="rId7" w:history="1">
        <w:r w:rsidRPr="00327788">
          <w:rPr>
            <w:rFonts w:ascii="Montserrat" w:hAnsi="Montserrat" w:cs="Helvetica"/>
            <w:color w:val="135666"/>
            <w:u w:val="single"/>
            <w:lang w:eastAsia="de-DE"/>
          </w:rPr>
          <w:t>www.bundesverfassungsgericht.de</w:t>
        </w:r>
      </w:hyperlink>
      <w:r w:rsidRPr="00327788">
        <w:rPr>
          <w:rFonts w:ascii="Montserrat" w:hAnsi="Montserrat" w:cs="Helvetica"/>
          <w:color w:val="135666"/>
          <w:lang w:eastAsia="de-DE"/>
        </w:rPr>
        <w:t>).</w:t>
      </w:r>
    </w:p>
    <w:p w14:paraId="50707732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05998692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 xml:space="preserve">Die indizierte therapeutische Apherese als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Membrandifferentialfiltrationsapherese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, auch umgangssprachlich als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Doppelmembranfiltrationsapherese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oder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Kaskadenfiltrationsapherese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bezeichnet (siehe auch </w:t>
      </w:r>
      <w:hyperlink r:id="rId8" w:history="1">
        <w:r w:rsidRPr="00327788">
          <w:rPr>
            <w:rFonts w:ascii="Montserrat" w:hAnsi="Montserrat" w:cs="Arial"/>
            <w:color w:val="135666"/>
            <w:u w:val="single"/>
            <w:lang w:eastAsia="de-DE"/>
          </w:rPr>
          <w:t>http://www.dgfn.eu/aerzte/apheresestandard/</w:t>
        </w:r>
      </w:hyperlink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– im klinischen Effekt und im pathophysiologischen Effekt über eine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Immunadsorptionsapherese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(</w:t>
      </w:r>
      <w:hyperlink r:id="rId9" w:history="1">
        <w:r w:rsidRPr="00327788">
          <w:rPr>
            <w:rFonts w:ascii="Montserrat" w:hAnsi="Montserrat" w:cs="Arial"/>
            <w:color w:val="135666"/>
            <w:u w:val="single"/>
            <w:lang w:eastAsia="de-DE"/>
          </w:rPr>
          <w:t>http://www.dgfn.eu/aerzte/apheresestandard</w:t>
        </w:r>
      </w:hyperlink>
      <w:r w:rsidRPr="00327788">
        <w:rPr>
          <w:rFonts w:ascii="Montserrat" w:hAnsi="Montserrat" w:cs="Arial"/>
          <w:color w:val="135666"/>
          <w:lang w:eastAsia="de-DE"/>
        </w:rPr>
        <w:t xml:space="preserve"> hinausgehend) - dient sowohl der weiterf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ührende Diagnostik als auch gleichzeitig der Therapie.</w:t>
      </w:r>
    </w:p>
    <w:p w14:paraId="6DCC3480" w14:textId="715764C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eastAsia="Times New Roman" w:hAnsi="Montserrat" w:cs="Arial"/>
          <w:color w:val="135666"/>
          <w:lang w:eastAsia="de-DE"/>
        </w:rPr>
        <w:t>Die therapeutische Apherese ist als solche im ICD10 Code (</w:t>
      </w:r>
      <w:r w:rsidRPr="00327788">
        <w:rPr>
          <w:rFonts w:ascii="Montserrat" w:hAnsi="Montserrat" w:cs="Arial"/>
          <w:i/>
          <w:iCs/>
          <w:color w:val="135666"/>
          <w:lang w:eastAsia="de-DE"/>
        </w:rPr>
        <w:t>siehe auch Bundesgesetzblatt: Fassung der Bekanntmachung vom 13.11.1998 (</w:t>
      </w:r>
      <w:r w:rsidRPr="00327788">
        <w:rPr>
          <w:rFonts w:ascii="Montserrat" w:hAnsi="Montserrat" w:cs="Arial"/>
          <w:color w:val="135666"/>
          <w:lang w:eastAsia="de-DE"/>
        </w:rPr>
        <w:t>BGBl</w:t>
      </w:r>
      <w:r w:rsidRPr="00327788">
        <w:rPr>
          <w:rFonts w:ascii="Montserrat" w:hAnsi="Montserrat" w:cs="Arial"/>
          <w:i/>
          <w:iCs/>
          <w:color w:val="135666"/>
          <w:lang w:eastAsia="de-DE"/>
        </w:rPr>
        <w:t>. I S. 3322)</w:t>
      </w:r>
      <w:r w:rsidRPr="00327788">
        <w:rPr>
          <w:rFonts w:ascii="Montserrat" w:hAnsi="Montserrat" w:cs="Arial"/>
          <w:color w:val="135666"/>
          <w:lang w:eastAsia="de-DE"/>
        </w:rPr>
        <w:t>) verbindlich 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ür alle Diagnosen und Prozeduren bei allen Kassen (PKV und GKV) in der Bundesrepublik Deutschland unter dem Schlüssel </w:t>
      </w:r>
      <w:r w:rsidRPr="00327788">
        <w:rPr>
          <w:rFonts w:ascii="Montserrat" w:hAnsi="Montserrat" w:cs="Arial"/>
          <w:b/>
          <w:bCs/>
          <w:color w:val="135666"/>
          <w:lang w:eastAsia="de-DE"/>
        </w:rPr>
        <w:t>Z51.81</w:t>
      </w:r>
      <w:r w:rsidRPr="00327788">
        <w:rPr>
          <w:rFonts w:ascii="Montserrat" w:hAnsi="Montserrat" w:cs="Arial"/>
          <w:color w:val="135666"/>
          <w:lang w:eastAsia="de-DE"/>
        </w:rPr>
        <w:t xml:space="preserve"> codiert. Der immer wieder vom MDK der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GKVen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und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PKVen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ins Feld gef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ührte Plasmaaustausch ist hingegen im ICD10 nicht codiert und somit auch nicht mehr als Behandlungsmaßnahme anerkannt.</w:t>
      </w:r>
    </w:p>
    <w:p w14:paraId="4E070BCF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7F5CE108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2931F222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u w:val="single"/>
          <w:lang w:eastAsia="de-DE"/>
        </w:rPr>
      </w:pPr>
      <w:r w:rsidRPr="00327788">
        <w:rPr>
          <w:rFonts w:ascii="Montserrat" w:hAnsi="Montserrat" w:cs="Arial"/>
          <w:color w:val="135666"/>
          <w:u w:val="single"/>
          <w:lang w:eastAsia="de-DE"/>
        </w:rPr>
        <w:t>Zur Definition der therapeutischen Apherese</w:t>
      </w:r>
    </w:p>
    <w:p w14:paraId="7C22D080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u w:val="single"/>
          <w:lang w:eastAsia="de-DE"/>
        </w:rPr>
      </w:pPr>
    </w:p>
    <w:p w14:paraId="5EA5A9A5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 xml:space="preserve">Die therapeutische Apherese ist ein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extracorporales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therapeutisches Verfahren. Es geh</w:t>
      </w:r>
      <w:r w:rsidRPr="00327788">
        <w:rPr>
          <w:rFonts w:ascii="Montserrat" w:eastAsia="Times New Roman" w:hAnsi="Montserrat" w:cs="Arial"/>
          <w:color w:val="135666"/>
          <w:lang w:eastAsia="de-DE"/>
        </w:rPr>
        <w:t>ört von der Art der therapeutisch ausgelösten Effekte zu der Gruppe der immunmodulatorischen Therapien. Es ist grundsätzlich vom Plasmaaustausch (= Plasmapherese, englisch: „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plasmaexchange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>“) zu unterscheiden.</w:t>
      </w:r>
    </w:p>
    <w:p w14:paraId="146A158E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Der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Apheresestandard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definiert daher (</w:t>
      </w:r>
      <w:hyperlink r:id="rId10" w:history="1">
        <w:r w:rsidRPr="00327788">
          <w:rPr>
            <w:rFonts w:ascii="Montserrat" w:hAnsi="Montserrat" w:cs="Arial"/>
            <w:color w:val="135666"/>
            <w:u w:val="single"/>
            <w:lang w:eastAsia="de-DE"/>
          </w:rPr>
          <w:t>http://www.dgfn.eu/aerzte/apheresestandard/</w:t>
        </w:r>
      </w:hyperlink>
      <w:r w:rsidRPr="00327788">
        <w:rPr>
          <w:rFonts w:ascii="Montserrat" w:hAnsi="Montserrat" w:cs="Arial"/>
          <w:color w:val="135666"/>
          <w:lang w:eastAsia="de-DE"/>
        </w:rPr>
        <w:t>) wie folgt:</w:t>
      </w:r>
    </w:p>
    <w:p w14:paraId="44C9B0AB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088B5FEC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u w:val="single"/>
          <w:lang w:eastAsia="de-DE"/>
        </w:rPr>
        <w:t>Therapeutische Apherese: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„Als Apherese bezeichnet man Behandlungsverfahren, deren Therapieeffekte auf der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extracorporalen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Elimination pathogener Proteine, proteingebundener pathogener Substanzen oder pathogener Zellen des Blutes bestehen ... Bei den selektiven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Plasmaphereseverfahren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wird mit Hilfe von Adsorption, Präzipitation oder Filtration das pathogene Protein aus dem separierten Plasma entfernt, das anschließend ohne wesentlichen Volumenverlust reinfundiert wird. Auf eine Substitutionslösung kann hierbei verzichtet werden."</w:t>
      </w:r>
    </w:p>
    <w:p w14:paraId="65EBA55E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1C33EFAD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u w:val="single"/>
          <w:lang w:eastAsia="de-DE"/>
        </w:rPr>
        <w:t>Plasmapherese:</w:t>
      </w:r>
      <w:r w:rsidRPr="00327788">
        <w:rPr>
          <w:rFonts w:ascii="Montserrat" w:hAnsi="Montserrat" w:cs="Arial"/>
          <w:color w:val="135666"/>
          <w:lang w:eastAsia="de-D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„Beim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unselektiven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Plasmaaustausch (Plasmapherese) wird das gesamte separierte Patientenplasma verworfen, wobei neben pathogenen auch alle anderen lebensnotwendigen Eiweiße eliminiert werden. Daher ist eine Substitutionslösung mit Elektrolyten, Humanalbumin oder Frischplasma erforderlich.“</w:t>
      </w:r>
    </w:p>
    <w:p w14:paraId="0F7E823D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03570F18" w14:textId="77777777" w:rsidR="000A159B" w:rsidRPr="00F410BD" w:rsidRDefault="000A159B" w:rsidP="00F410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F410BD">
        <w:rPr>
          <w:rFonts w:ascii="Montserrat" w:hAnsi="Montserrat" w:cs="Arial"/>
          <w:b/>
          <w:bCs/>
          <w:color w:val="135666"/>
          <w:lang w:eastAsia="de-DE"/>
        </w:rPr>
        <w:t>Das hei</w:t>
      </w:r>
      <w:r w:rsidRPr="00F410BD">
        <w:rPr>
          <w:rFonts w:ascii="Montserrat" w:eastAsia="Times New Roman" w:hAnsi="Montserrat" w:cs="Arial"/>
          <w:b/>
          <w:bCs/>
          <w:color w:val="135666"/>
          <w:lang w:eastAsia="de-DE"/>
        </w:rPr>
        <w:t>ßt übersetzt: </w:t>
      </w:r>
    </w:p>
    <w:p w14:paraId="3DEAB049" w14:textId="77777777" w:rsidR="000A159B" w:rsidRPr="00F410BD" w:rsidRDefault="000A159B" w:rsidP="00F410BD">
      <w:pPr>
        <w:pStyle w:val="Listenabsatz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F410BD">
        <w:rPr>
          <w:rFonts w:ascii="Montserrat" w:hAnsi="Montserrat" w:cs="Arial"/>
          <w:b/>
          <w:bCs/>
          <w:color w:val="135666"/>
          <w:lang w:eastAsia="de-DE"/>
        </w:rPr>
        <w:t>Einsatz bei Autoimmunerkrankungen bzw. chronisch-inflammatorischen Multisystemerkrankungen (z.B. rheumatoide Arthritis und andere)</w:t>
      </w:r>
    </w:p>
    <w:p w14:paraId="6F79AC92" w14:textId="77777777" w:rsidR="000A159B" w:rsidRPr="00F410BD" w:rsidRDefault="000A159B" w:rsidP="00F410BD">
      <w:pPr>
        <w:pStyle w:val="Listenabsatz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F410BD">
        <w:rPr>
          <w:rFonts w:ascii="Montserrat" w:hAnsi="Montserrat" w:cs="Arial"/>
          <w:b/>
          <w:bCs/>
          <w:color w:val="135666"/>
          <w:lang w:eastAsia="de-DE"/>
        </w:rPr>
        <w:t xml:space="preserve">Einsatz bei Krankheitsbildern der klinischen Umweltmedizin (alle Schadstoffe binden sich an Proteine und erzeugen sog. </w:t>
      </w:r>
      <w:proofErr w:type="spellStart"/>
      <w:r w:rsidRPr="00F410BD">
        <w:rPr>
          <w:rFonts w:ascii="Montserrat" w:hAnsi="Montserrat" w:cs="Arial"/>
          <w:b/>
          <w:bCs/>
          <w:color w:val="135666"/>
          <w:lang w:eastAsia="de-DE"/>
        </w:rPr>
        <w:t>Haptene</w:t>
      </w:r>
      <w:proofErr w:type="spellEnd"/>
      <w:r w:rsidRPr="00F410BD">
        <w:rPr>
          <w:rFonts w:ascii="Montserrat" w:hAnsi="Montserrat" w:cs="Arial"/>
          <w:b/>
          <w:bCs/>
          <w:color w:val="135666"/>
          <w:lang w:eastAsia="de-DE"/>
        </w:rPr>
        <w:t xml:space="preserve"> = toxisch-inflammatorisch wirksame Fremdstoff-Proteinkomplexe)</w:t>
      </w:r>
    </w:p>
    <w:p w14:paraId="29DE44E4" w14:textId="77777777" w:rsidR="000A159B" w:rsidRPr="00F410BD" w:rsidRDefault="000A159B" w:rsidP="00F410BD">
      <w:pPr>
        <w:pStyle w:val="Listenabsatz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F410BD">
        <w:rPr>
          <w:rFonts w:ascii="Montserrat" w:hAnsi="Montserrat" w:cs="Arial"/>
          <w:b/>
          <w:bCs/>
          <w:color w:val="135666"/>
          <w:lang w:eastAsia="de-DE"/>
        </w:rPr>
        <w:t>Einsatz auch bei Krebskrankheiten (Metastasen = pathologische Zellen)</w:t>
      </w:r>
    </w:p>
    <w:p w14:paraId="4F05AF60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2825D9D5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4F227FB1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 xml:space="preserve">Im Einzelnen wird mit der therapeutischen Apherese (Form: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Doppelmembranfiltrationsapherese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;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syn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.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Membrandifferentialfiltrationsapherese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>) folgendes bewirkt (</w:t>
      </w:r>
      <w:hyperlink r:id="rId11" w:history="1">
        <w:r w:rsidRPr="00327788">
          <w:rPr>
            <w:rFonts w:ascii="Montserrat" w:hAnsi="Montserrat" w:cs="Arial"/>
            <w:color w:val="135666"/>
            <w:u w:val="single"/>
            <w:lang w:eastAsia="de-DE"/>
          </w:rPr>
          <w:t>www.umg-verlag.de/umwelt-medizin-gesellschaft/110_sd1.pdf</w:t>
        </w:r>
      </w:hyperlink>
      <w:r w:rsidRPr="00327788">
        <w:rPr>
          <w:rFonts w:ascii="Montserrat" w:hAnsi="Montserrat" w:cs="Arial"/>
          <w:color w:val="135666"/>
          <w:lang w:eastAsia="de-DE"/>
        </w:rPr>
        <w:t xml:space="preserve"> )</w:t>
      </w:r>
    </w:p>
    <w:p w14:paraId="798995CB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i/>
          <w:iCs/>
          <w:color w:val="135666"/>
          <w:lang w:eastAsia="de-DE"/>
        </w:rPr>
      </w:pPr>
    </w:p>
    <w:p w14:paraId="2E448D8D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16F716FE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Es werden reduziert und bei Wiederholung der Apherese reduziert bzw. komplett entfernt:</w:t>
      </w:r>
    </w:p>
    <w:p w14:paraId="2039CDAA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6493BFDB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hAnsi="Montserrat" w:cs="Arial"/>
          <w:color w:val="135666"/>
          <w:lang w:eastAsia="de-DE"/>
        </w:rPr>
        <w:t>Autoantik</w:t>
      </w:r>
      <w:r w:rsidRPr="00F410BD">
        <w:rPr>
          <w:rFonts w:ascii="Montserrat" w:eastAsia="Times New Roman" w:hAnsi="Montserrat" w:cs="Arial"/>
          <w:color w:val="135666"/>
          <w:lang w:eastAsia="de-DE"/>
        </w:rPr>
        <w:t>örper gegen Nervenstrukturen</w:t>
      </w:r>
    </w:p>
    <w:p w14:paraId="1334313E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zirkulierende pathogene Immunkomplexe</w:t>
      </w:r>
    </w:p>
    <w:p w14:paraId="5451D497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Anhebung des Sauerstoffdrucks in den Geweben als notwendige Voraussetzung zur Einleitung der Regeration und Genesung bei komplexer Krankheitsentität (NB: Borrelien sind sog.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microaerobe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 Erreger; durch die schlagartige Anhebung des Sauerstoffpartialdrucks [ca. 50% zum Ausgangswert] in den Geweben, werden sie geschädigt und können absterben)</w:t>
      </w:r>
    </w:p>
    <w:p w14:paraId="6255801E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Optimierung der Fließeigenschaften des Blutes als notwendige Voraussetzung zur Einleitung der Regenration und zur Erwirkung des Stillstandes der Progression</w:t>
      </w:r>
    </w:p>
    <w:p w14:paraId="0520E1E2" w14:textId="79C2E278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Anhebung des reduzierten mitochondrialen ATP (Energiestoff aller Zellen) als positiver und notwendiger metabolischer Effekt</w:t>
      </w:r>
    </w:p>
    <w:p w14:paraId="59864C8E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lastRenderedPageBreak/>
        <w:t xml:space="preserve">Reduktion des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nitrosativen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 und des oxidativen Stresses in den Zellen, gemessen an der signifikanten Reduktion von Nitrotyrosin und MDA-LDL</w:t>
      </w:r>
    </w:p>
    <w:p w14:paraId="1033B8EF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Abnorme 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Haptene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 bestehend aus Schwermetallen/Lösemitteln/Pestiziden/Nanopartikeln</w:t>
      </w:r>
    </w:p>
    <w:p w14:paraId="2B4A5808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Abnorme Antikörper/Paraproteine</w:t>
      </w:r>
    </w:p>
    <w:p w14:paraId="5E1FEF04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Rheuma-Antikörper (anti-CCP und Rheumafaktor)</w:t>
      </w:r>
    </w:p>
    <w:p w14:paraId="0A214A91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Autoantikörper gegen Bindegewebe</w:t>
      </w:r>
    </w:p>
    <w:p w14:paraId="3A36558C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Autoantikörper gegen Gefäß-Strukturen</w:t>
      </w:r>
    </w:p>
    <w:p w14:paraId="517CB087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Autoantikörper gegen Muskelstrukturen</w:t>
      </w:r>
    </w:p>
    <w:p w14:paraId="378D0EA0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Autoantikörper gegen cardiale Strukturen</w:t>
      </w:r>
    </w:p>
    <w:p w14:paraId="3976D2F6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Reduktion von überregulierten Interleukinen</w:t>
      </w:r>
    </w:p>
    <w:p w14:paraId="1E88021C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Deregulierte Interleukine bzw. Entzündungsmoleküle</w:t>
      </w:r>
    </w:p>
    <w:p w14:paraId="62C59E5F" w14:textId="77777777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Viruspartikel (u.a. Hepatitis C und HIV)</w:t>
      </w:r>
    </w:p>
    <w:p w14:paraId="5259972D" w14:textId="4476FE6B" w:rsidR="000A159B" w:rsidRPr="00F410BD" w:rsidRDefault="000A159B" w:rsidP="00F410BD">
      <w:pPr>
        <w:pStyle w:val="Listenabsatz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F410BD">
        <w:rPr>
          <w:rFonts w:ascii="Montserrat" w:eastAsia="Times New Roman" w:hAnsi="Montserrat" w:cs="Arial"/>
          <w:color w:val="135666"/>
          <w:lang w:eastAsia="de-DE"/>
        </w:rPr>
        <w:t>Reduktion der systemischen Gefäßentzündung, gemessen an der signifikanten Reduktion des Lp-PLA2 (Lipoprotein-</w:t>
      </w:r>
      <w:proofErr w:type="spellStart"/>
      <w:r w:rsidRPr="00F410BD">
        <w:rPr>
          <w:rFonts w:ascii="Montserrat" w:eastAsia="Times New Roman" w:hAnsi="Montserrat" w:cs="Arial"/>
          <w:color w:val="135666"/>
          <w:lang w:eastAsia="de-DE"/>
        </w:rPr>
        <w:t>Phospholipase</w:t>
      </w:r>
      <w:proofErr w:type="spellEnd"/>
      <w:r w:rsidRPr="00F410BD">
        <w:rPr>
          <w:rFonts w:ascii="Montserrat" w:eastAsia="Times New Roman" w:hAnsi="Montserrat" w:cs="Arial"/>
          <w:color w:val="135666"/>
          <w:lang w:eastAsia="de-DE"/>
        </w:rPr>
        <w:t xml:space="preserve"> A2)</w:t>
      </w:r>
    </w:p>
    <w:p w14:paraId="52096C11" w14:textId="77777777" w:rsidR="000A159B" w:rsidRPr="00327788" w:rsidRDefault="000A159B" w:rsidP="000A159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4E83B665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eastAsia="Times New Roman" w:hAnsi="Montserrat" w:cs="Arial"/>
          <w:color w:val="135666"/>
          <w:lang w:eastAsia="de-DE"/>
        </w:rPr>
        <w:t>Die Nebenwirkungsrate der therapeutische Apherese liegt bei real 0,2% (Plasmaaustausch 8%!), die Nebenwirkungsrate der bisherigen „Standardtherapie“ liegt bei &gt;50%.</w:t>
      </w:r>
    </w:p>
    <w:p w14:paraId="2DF921F3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49983846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Die therapeutische Apherese ist Bestandteil der internationalen Weltmedizin, was dadurch zum Ausdruck kommt, dass eine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Weltapheresegesellschaft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existiert mit 17 nationalen und regionalen bzw. kontinentalen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Apheresegesellschaften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(</w:t>
      </w:r>
      <w:hyperlink r:id="rId12" w:history="1">
        <w:r w:rsidRPr="00327788">
          <w:rPr>
            <w:rFonts w:ascii="Montserrat" w:hAnsi="Montserrat" w:cs="Arial"/>
            <w:color w:val="135666"/>
            <w:u w:val="single"/>
            <w:lang w:eastAsia="de-DE"/>
          </w:rPr>
          <w:t>www.worldapheresis.org</w:t>
        </w:r>
      </w:hyperlink>
      <w:r w:rsidRPr="00327788">
        <w:rPr>
          <w:rFonts w:ascii="Montserrat" w:hAnsi="Montserrat" w:cs="Arial"/>
          <w:color w:val="135666"/>
          <w:lang w:eastAsia="de-DE"/>
        </w:rPr>
        <w:t>).</w:t>
      </w:r>
    </w:p>
    <w:p w14:paraId="6FB3BCD4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5D600454" w14:textId="37924523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Die Apherese wird nach Lehrbuch durchgef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ührt:                                                                            </w:t>
      </w:r>
      <w:proofErr w:type="gramStart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  </w:t>
      </w:r>
      <w:r w:rsidRPr="00327788">
        <w:rPr>
          <w:rFonts w:ascii="Montserrat" w:hAnsi="Montserrat" w:cs="Arial"/>
          <w:b/>
          <w:bCs/>
          <w:color w:val="135666"/>
          <w:lang w:eastAsia="de-DE"/>
        </w:rPr>
        <w:t>(</w:t>
      </w:r>
      <w:proofErr w:type="gramEnd"/>
      <w:r w:rsidRPr="00327788">
        <w:rPr>
          <w:rFonts w:ascii="Montserrat" w:hAnsi="Montserrat" w:cs="Arial"/>
          <w:b/>
          <w:bCs/>
          <w:i/>
          <w:iCs/>
          <w:color w:val="135666"/>
          <w:lang w:eastAsia="de-DE"/>
        </w:rPr>
        <w:t>Bambauer, Latza, Lentz:</w:t>
      </w:r>
      <w:r w:rsidR="00F410BD">
        <w:rPr>
          <w:rFonts w:ascii="Montserrat" w:hAnsi="Montserrat" w:cs="Arial"/>
          <w:b/>
          <w:bCs/>
          <w:i/>
          <w:iCs/>
          <w:color w:val="135666"/>
          <w:lang w:eastAsia="de-DE"/>
        </w:rPr>
        <w:t xml:space="preserve"> </w:t>
      </w:r>
      <w:proofErr w:type="spellStart"/>
      <w:r w:rsidRPr="00327788">
        <w:rPr>
          <w:rFonts w:ascii="Montserrat" w:hAnsi="Montserrat" w:cs="Arial"/>
          <w:b/>
          <w:bCs/>
          <w:i/>
          <w:iCs/>
          <w:color w:val="135666"/>
          <w:lang w:eastAsia="de-DE"/>
        </w:rPr>
        <w:t>Therapeuitc</w:t>
      </w:r>
      <w:proofErr w:type="spellEnd"/>
      <w:r w:rsidRPr="00327788">
        <w:rPr>
          <w:rFonts w:ascii="Montserrat" w:hAnsi="Montserrat" w:cs="Arial"/>
          <w:b/>
          <w:bCs/>
          <w:i/>
          <w:iCs/>
          <w:color w:val="135666"/>
          <w:lang w:eastAsia="de-DE"/>
        </w:rPr>
        <w:t xml:space="preserve"> Plasmaexchange and </w:t>
      </w:r>
      <w:proofErr w:type="spellStart"/>
      <w:r w:rsidRPr="00327788">
        <w:rPr>
          <w:rFonts w:ascii="Montserrat" w:hAnsi="Montserrat" w:cs="Arial"/>
          <w:b/>
          <w:bCs/>
          <w:i/>
          <w:iCs/>
          <w:color w:val="135666"/>
          <w:lang w:eastAsia="de-DE"/>
        </w:rPr>
        <w:t>selective</w:t>
      </w:r>
      <w:proofErr w:type="spellEnd"/>
      <w:r w:rsidRPr="00327788">
        <w:rPr>
          <w:rFonts w:ascii="Montserrat" w:hAnsi="Montserrat" w:cs="Arial"/>
          <w:b/>
          <w:bCs/>
          <w:i/>
          <w:iCs/>
          <w:color w:val="135666"/>
          <w:lang w:eastAsia="de-DE"/>
        </w:rPr>
        <w:t xml:space="preserve"> Plasma Separation Methods - Third Edition 2008 </w:t>
      </w:r>
      <w:r w:rsidRPr="00327788">
        <w:rPr>
          <w:rFonts w:ascii="Montserrat" w:eastAsia="Times New Roman" w:hAnsi="Montserrat" w:cs="Arial"/>
          <w:b/>
          <w:bCs/>
          <w:i/>
          <w:iCs/>
          <w:color w:val="135666"/>
          <w:lang w:eastAsia="de-DE"/>
        </w:rPr>
        <w:t>– ISBN 978-89967-458-3</w:t>
      </w:r>
      <w:r w:rsidRPr="00327788">
        <w:rPr>
          <w:rFonts w:ascii="Montserrat" w:hAnsi="Montserrat" w:cs="Arial"/>
          <w:b/>
          <w:bCs/>
          <w:color w:val="135666"/>
          <w:lang w:eastAsia="de-DE"/>
        </w:rPr>
        <w:t>) mit insgesamt 2776 aufgearbeiteten weltweiten Literaturstellen</w:t>
      </w:r>
    </w:p>
    <w:p w14:paraId="4792F956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6C742484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>F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ür die Wirksamkeit der therapeutischen Apherese stehen mittlerweile ca. 7500 evidenzbasierte Studien seit 1980 zur Verfügung; die Studienlage der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Doppelmembranfiltrationsapherese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bzw. Apherese als solche ist aktuell mit 18307 Einträgen in </w:t>
      </w:r>
      <w:proofErr w:type="spellStart"/>
      <w:r w:rsidRPr="00327788">
        <w:rPr>
          <w:rFonts w:ascii="Montserrat" w:hAnsi="Montserrat" w:cs="Arial"/>
          <w:b/>
          <w:bCs/>
          <w:color w:val="135666"/>
          <w:lang w:eastAsia="de-DE"/>
        </w:rPr>
        <w:t>pubmed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(Februar 2015) sehr gut evidenzbasiert dokumentiert.</w:t>
      </w:r>
    </w:p>
    <w:p w14:paraId="3EA9D8B6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</w:p>
    <w:p w14:paraId="14EB823B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 xml:space="preserve">Als weitere Therapiegrundlage dient: </w:t>
      </w:r>
    </w:p>
    <w:p w14:paraId="29EFC92F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lang w:val="en-GB" w:eastAsia="en-GB"/>
        </w:rPr>
      </w:pPr>
      <w:r w:rsidRPr="00327788">
        <w:rPr>
          <w:rFonts w:ascii="Montserrat" w:hAnsi="Montserrat" w:cs="Arial"/>
          <w:color w:val="135666"/>
          <w:lang w:eastAsia="de-DE"/>
        </w:rPr>
        <w:t xml:space="preserve">                                                                                                                                                          </w:t>
      </w:r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 xml:space="preserve">Lehrbuch der klinischen Pathophysiologie komplexer chronischer </w:t>
      </w:r>
      <w:proofErr w:type="gramStart"/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 xml:space="preserve">Erkrankungen,  </w:t>
      </w:r>
      <w:proofErr w:type="spellStart"/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>Bd</w:t>
      </w:r>
      <w:proofErr w:type="spellEnd"/>
      <w:proofErr w:type="gramEnd"/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 xml:space="preserve"> </w:t>
      </w:r>
      <w:proofErr w:type="gramStart"/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>1  &amp;</w:t>
      </w:r>
      <w:proofErr w:type="gramEnd"/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 xml:space="preserve"> </w:t>
      </w:r>
      <w:proofErr w:type="spellStart"/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>Bd</w:t>
      </w:r>
      <w:proofErr w:type="spellEnd"/>
      <w:r w:rsidRPr="00327788">
        <w:rPr>
          <w:rFonts w:ascii="Montserrat" w:hAnsi="Montserrat" w:cs="Arial"/>
          <w:b/>
          <w:bCs/>
          <w:color w:val="135666"/>
          <w:u w:val="single"/>
          <w:lang w:eastAsia="de-DE"/>
        </w:rPr>
        <w:t xml:space="preserve"> 2 (Psycho-Neuro-Endokrinologie</w:t>
      </w:r>
      <w:r w:rsidRPr="00327788">
        <w:rPr>
          <w:rFonts w:ascii="Montserrat" w:hAnsi="Montserrat" w:cs="Arial"/>
          <w:b/>
          <w:bCs/>
          <w:color w:val="135666"/>
          <w:lang w:eastAsia="de-DE"/>
        </w:rPr>
        <w:t xml:space="preserve"> von Rainer H. Straub von Vandenhoeck &amp; Ruprecht (1. </w:t>
      </w:r>
      <w:r w:rsidRPr="00327788">
        <w:rPr>
          <w:rFonts w:ascii="Montserrat" w:hAnsi="Montserrat" w:cs="Arial"/>
          <w:b/>
          <w:bCs/>
          <w:color w:val="135666"/>
          <w:lang w:val="en-GB" w:eastAsia="en-GB"/>
        </w:rPr>
        <w:t xml:space="preserve">August 2006) </w:t>
      </w:r>
    </w:p>
    <w:p w14:paraId="6F05C8F1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00" w:after="100" w:line="240" w:lineRule="auto"/>
        <w:rPr>
          <w:rFonts w:ascii="Montserrat" w:hAnsi="Montserrat" w:cs="Arial"/>
          <w:color w:val="135666"/>
          <w:lang w:val="en-GB" w:eastAsia="en-GB"/>
        </w:rPr>
      </w:pPr>
    </w:p>
    <w:p w14:paraId="4BFAC095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00" w:after="100" w:line="240" w:lineRule="auto"/>
        <w:rPr>
          <w:rFonts w:ascii="Montserrat" w:hAnsi="Montserrat" w:cs="Arial"/>
          <w:b/>
          <w:bCs/>
          <w:color w:val="135666"/>
          <w:lang w:eastAsia="de-DE"/>
        </w:rPr>
      </w:pPr>
      <w:hyperlink r:id="rId13" w:history="1">
        <w:r w:rsidRPr="00327788">
          <w:rPr>
            <w:rFonts w:ascii="Montserrat" w:hAnsi="Montserrat" w:cs="Arial"/>
            <w:b/>
            <w:bCs/>
            <w:color w:val="135666"/>
            <w:u w:val="single"/>
            <w:lang w:val="en-GB" w:eastAsia="en-GB"/>
          </w:rPr>
          <w:t xml:space="preserve">Explaining Unexplained Illnesses: Disease Paradigm for Chronic Fatigue Syndrome, Multiple Chemical Sensitivity, Fibromyalgia, Post-Traumatic Stress ... Series on Malaise, Fatigue, and </w:t>
        </w:r>
        <w:proofErr w:type="spellStart"/>
        <w:r w:rsidRPr="00327788">
          <w:rPr>
            <w:rFonts w:ascii="Montserrat" w:hAnsi="Montserrat" w:cs="Arial"/>
            <w:b/>
            <w:bCs/>
            <w:color w:val="135666"/>
            <w:u w:val="single"/>
            <w:lang w:val="en-GB" w:eastAsia="en-GB"/>
          </w:rPr>
          <w:t>Debilitatio</w:t>
        </w:r>
        <w:proofErr w:type="spellEnd"/>
        <w:r w:rsidRPr="00327788">
          <w:rPr>
            <w:rFonts w:ascii="Montserrat" w:hAnsi="Montserrat" w:cs="Arial"/>
            <w:b/>
            <w:bCs/>
            <w:color w:val="135666"/>
            <w:u w:val="single"/>
            <w:lang w:val="en-GB" w:eastAsia="en-GB"/>
          </w:rPr>
          <w:t>)</w:t>
        </w:r>
      </w:hyperlink>
      <w:r w:rsidRPr="00327788">
        <w:rPr>
          <w:rFonts w:ascii="Montserrat" w:hAnsi="Montserrat" w:cs="Arial"/>
          <w:b/>
          <w:bCs/>
          <w:color w:val="135666"/>
          <w:lang w:val="en-GB" w:eastAsia="en-GB"/>
        </w:rPr>
        <w:t xml:space="preserve"> von Martin L. Pall von Informa Healthcare (15. </w:t>
      </w:r>
      <w:r w:rsidRPr="00327788">
        <w:rPr>
          <w:rFonts w:ascii="Montserrat" w:hAnsi="Montserrat" w:cs="Arial"/>
          <w:b/>
          <w:bCs/>
          <w:color w:val="135666"/>
          <w:lang w:eastAsia="de-DE"/>
        </w:rPr>
        <w:t>Mai 2007)</w:t>
      </w:r>
    </w:p>
    <w:p w14:paraId="6DBAF7DB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00" w:after="100" w:line="240" w:lineRule="auto"/>
        <w:rPr>
          <w:rFonts w:ascii="Montserrat" w:hAnsi="Montserrat" w:cs="Arial"/>
          <w:color w:val="135666"/>
          <w:lang w:eastAsia="de-DE"/>
        </w:rPr>
      </w:pPr>
    </w:p>
    <w:p w14:paraId="38C383B2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</w:pPr>
      <w:r w:rsidRPr="00327788"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  <w:t xml:space="preserve">Das System der Grundregulation: Grundlagen einer ganzheitsbiologischen Medizin Gebundene 12. Ausgabe </w:t>
      </w:r>
      <w:r w:rsidRPr="00327788">
        <w:rPr>
          <w:rFonts w:ascii="Montserrat" w:eastAsia="Times New Roman" w:hAnsi="Montserrat" w:cs="Arial"/>
          <w:b/>
          <w:bCs/>
          <w:color w:val="135666"/>
          <w:sz w:val="24"/>
          <w:szCs w:val="24"/>
          <w:u w:val="single"/>
          <w:lang w:eastAsia="de-DE"/>
        </w:rPr>
        <w:t>– 17. September 2014</w:t>
      </w:r>
      <w:r w:rsidRPr="00327788"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  <w:t xml:space="preserve"> von </w:t>
      </w:r>
      <w:hyperlink r:id="rId14" w:history="1">
        <w:r w:rsidRPr="00327788">
          <w:rPr>
            <w:rFonts w:ascii="Montserrat" w:hAnsi="Montserrat" w:cs="Arial"/>
            <w:b/>
            <w:bCs/>
            <w:color w:val="135666"/>
            <w:sz w:val="24"/>
            <w:szCs w:val="24"/>
            <w:u w:val="single"/>
            <w:lang w:eastAsia="de-DE"/>
          </w:rPr>
          <w:t>Alfred Pischinger</w:t>
        </w:r>
      </w:hyperlink>
      <w:r w:rsidRPr="00327788"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  <w:t xml:space="preserve"> (</w:t>
      </w:r>
      <w:proofErr w:type="gramStart"/>
      <w:r w:rsidRPr="00327788"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  <w:t>Autor)  Haug</w:t>
      </w:r>
      <w:proofErr w:type="gramEnd"/>
      <w:r w:rsidRPr="00327788"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  <w:t xml:space="preserve"> Verlag</w:t>
      </w:r>
    </w:p>
    <w:p w14:paraId="3FA0164F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</w:pPr>
    </w:p>
    <w:p w14:paraId="7B84BBF2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b/>
          <w:bCs/>
          <w:color w:val="135666"/>
          <w:sz w:val="24"/>
          <w:szCs w:val="24"/>
          <w:u w:val="single"/>
          <w:lang w:eastAsia="de-DE"/>
        </w:rPr>
      </w:pPr>
    </w:p>
    <w:p w14:paraId="2E2B3EA8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hAnsi="Montserrat" w:cs="Arial"/>
          <w:color w:val="135666"/>
          <w:lang w:eastAsia="de-DE"/>
        </w:rPr>
        <w:t xml:space="preserve">Nil </w:t>
      </w:r>
      <w:proofErr w:type="spellStart"/>
      <w:r w:rsidRPr="00327788">
        <w:rPr>
          <w:rFonts w:ascii="Montserrat" w:hAnsi="Montserrat" w:cs="Arial"/>
          <w:color w:val="135666"/>
          <w:lang w:eastAsia="de-DE"/>
        </w:rPr>
        <w:t>nocere</w:t>
      </w:r>
      <w:proofErr w:type="spellEnd"/>
      <w:r w:rsidRPr="00327788">
        <w:rPr>
          <w:rFonts w:ascii="Montserrat" w:hAnsi="Montserrat" w:cs="Arial"/>
          <w:color w:val="135666"/>
          <w:lang w:eastAsia="de-DE"/>
        </w:rPr>
        <w:t xml:space="preserve"> ist immer noch Grundsatz in der Behandlung eines Kranken seit 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über 2000 Jahren. Daran hat sich auch im Jahr </w:t>
      </w:r>
      <w:r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>2022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nichts geändert, und so ist es auch in der MBO-Ä verankert.</w:t>
      </w:r>
    </w:p>
    <w:p w14:paraId="70DD544D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75F7FB37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456D66E4" w14:textId="181F4554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eastAsia="Times New Roman" w:hAnsi="Montserrat" w:cs="Arial"/>
          <w:color w:val="135666"/>
          <w:lang w:eastAsia="de-DE"/>
        </w:rPr>
        <w:t>In Abwägung aller Voraussetzungen und der real-klinischen Sachverhalte ist die therapeutische Apherese zum Einsatz gebracht worden, und sollte sinnvoller Weise weiter zum Einsatz kommen.</w:t>
      </w:r>
    </w:p>
    <w:p w14:paraId="111100B0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54541AD5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Aufgrund der Schwere Ihrer Erkrankung werden zunächst mindestens </w:t>
      </w:r>
      <w:r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>6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Apheresen, und ggf. nach klinischem Bild im Verlauf weitere notwendig werden. (</w:t>
      </w:r>
      <w:r w:rsidRPr="00327788">
        <w:rPr>
          <w:rFonts w:ascii="Montserrat" w:hAnsi="Montserrat" w:cs="Arial"/>
          <w:b/>
          <w:bCs/>
          <w:color w:val="135666"/>
          <w:lang w:eastAsia="de-DE"/>
        </w:rPr>
        <w:t>Hinweis:</w:t>
      </w:r>
      <w:r w:rsidRPr="00327788">
        <w:rPr>
          <w:rFonts w:ascii="Montserrat" w:hAnsi="Montserrat" w:cs="Arial"/>
          <w:color w:val="135666"/>
          <w:lang w:eastAsia="de-DE"/>
        </w:rPr>
        <w:t xml:space="preserve"> je l</w:t>
      </w:r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änger die Erkrankung und Chronifizierung besteht, umso mehr Apheresen müssen durchgeführt werden, um eine Rekompensation bzw. Genesung zu erreichen. Je früher ab Beginn einer Erkrankung die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Apheresebehandlung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eingesetzt wird, umso weniger Apheresen werden benötigt, um das angestrebte Behandlungsziel zu erreichen; die genannte Anzahl richtet sich nach der allgemein anerkannten </w:t>
      </w:r>
      <w:proofErr w:type="spellStart"/>
      <w:r w:rsidRPr="00327788">
        <w:rPr>
          <w:rFonts w:ascii="Montserrat" w:eastAsia="Times New Roman" w:hAnsi="Montserrat" w:cs="Arial"/>
          <w:color w:val="135666"/>
          <w:lang w:eastAsia="de-DE"/>
        </w:rPr>
        <w:t>apheresetherapeutischen</w:t>
      </w:r>
      <w:proofErr w:type="spellEnd"/>
      <w:r w:rsidRPr="00327788">
        <w:rPr>
          <w:rFonts w:ascii="Montserrat" w:eastAsia="Times New Roman" w:hAnsi="Montserrat" w:cs="Arial"/>
          <w:color w:val="135666"/>
          <w:lang w:eastAsia="de-DE"/>
        </w:rPr>
        <w:t xml:space="preserve"> Erfahrung bei solchen Erkrankungen)</w:t>
      </w:r>
    </w:p>
    <w:p w14:paraId="39962E61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517E0046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69DD70BE" w14:textId="1D4F0220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highlight w:val="magenta"/>
          <w:lang w:eastAsia="de-DE"/>
        </w:rPr>
      </w:pPr>
      <w:r w:rsidRPr="00327788">
        <w:rPr>
          <w:rFonts w:ascii="Montserrat" w:hAnsi="Montserrat" w:cs="Arial"/>
          <w:color w:val="135666"/>
          <w:highlight w:val="magenta"/>
          <w:lang w:eastAsia="de-DE"/>
        </w:rPr>
        <w:t>Die Durchf</w:t>
      </w:r>
      <w:r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ührung der </w:t>
      </w:r>
      <w:r w:rsidR="0087418F" w:rsidRPr="00327788">
        <w:rPr>
          <w:rFonts w:ascii="Montserrat" w:hAnsi="Montserrat" w:cs="Arial"/>
          <w:color w:val="135666"/>
          <w:highlight w:val="magenta"/>
          <w:lang w:eastAsia="x-none"/>
        </w:rPr>
        <w:t>therapeutischen Apherese / Toxopherese</w:t>
      </w:r>
      <w:r w:rsidR="0087418F" w:rsidRPr="00327788">
        <w:rPr>
          <w:rFonts w:ascii="Montserrat" w:eastAsia="Times New Roman" w:hAnsi="Montserrat" w:cs="Arial"/>
          <w:color w:val="135666"/>
          <w:position w:val="6"/>
          <w:highlight w:val="magenta"/>
          <w:lang w:eastAsia="x-none"/>
        </w:rPr>
        <w:t>®</w:t>
      </w:r>
      <w:r w:rsidR="0087418F" w:rsidRPr="00327788">
        <w:rPr>
          <w:rFonts w:ascii="Montserrat" w:hAnsi="Montserrat"/>
          <w:color w:val="135666"/>
          <w:highlight w:val="magenta"/>
          <w:lang w:eastAsia="x-none"/>
        </w:rPr>
        <w:t xml:space="preserve"> </w:t>
      </w:r>
      <w:r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ist </w:t>
      </w:r>
      <w:proofErr w:type="gramStart"/>
      <w:r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>aus folgenden</w:t>
      </w:r>
      <w:proofErr w:type="gramEnd"/>
      <w:r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Gründen i</w:t>
      </w:r>
      <w:r w:rsidR="007F1697"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>n</w:t>
      </w:r>
      <w:r w:rsidRPr="00327788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</w:t>
      </w:r>
      <w:r w:rsidR="007F1697" w:rsidRPr="00327788">
        <w:rPr>
          <w:rFonts w:ascii="Montserrat" w:hAnsi="Montserrat" w:cs="Arial"/>
          <w:color w:val="135666"/>
          <w:highlight w:val="magenta"/>
          <w:lang w:eastAsia="x-none"/>
        </w:rPr>
        <w:t>&lt;Praxis und Name des Arztes&gt;</w:t>
      </w:r>
      <w:r w:rsidRPr="00327788">
        <w:rPr>
          <w:rFonts w:ascii="Montserrat" w:hAnsi="Montserrat" w:cs="Arial"/>
          <w:color w:val="135666"/>
          <w:highlight w:val="magenta"/>
          <w:lang w:eastAsia="de-DE"/>
        </w:rPr>
        <w:t xml:space="preserve"> angezeigt:</w:t>
      </w:r>
    </w:p>
    <w:p w14:paraId="6F3B17C4" w14:textId="77777777" w:rsidR="000A159B" w:rsidRPr="00327788" w:rsidRDefault="000A159B" w:rsidP="000A15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35666"/>
          <w:highlight w:val="magenta"/>
          <w:lang w:eastAsia="de-DE"/>
        </w:rPr>
      </w:pPr>
    </w:p>
    <w:p w14:paraId="490BA5E0" w14:textId="31967916" w:rsidR="000A159B" w:rsidRPr="00F410BD" w:rsidRDefault="000A159B" w:rsidP="00F410BD">
      <w:pPr>
        <w:pStyle w:val="Listenabsatz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F410BD">
        <w:rPr>
          <w:rFonts w:ascii="Montserrat" w:hAnsi="Montserrat" w:cs="Arial"/>
          <w:color w:val="135666"/>
          <w:highlight w:val="magenta"/>
          <w:lang w:eastAsia="de-DE"/>
        </w:rPr>
        <w:t>Es existiert eine spezielle, eigens auf die therapeutische Apherese ausgerichtete Behandlungseinheit, die j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ährlich mehr als </w:t>
      </w:r>
      <w:r w:rsidR="002E1E3C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….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Apheresen durchführt, nach internationalem Standard.</w:t>
      </w:r>
    </w:p>
    <w:p w14:paraId="5EE75CF6" w14:textId="77777777" w:rsidR="000A159B" w:rsidRPr="00F410BD" w:rsidRDefault="000A159B" w:rsidP="00F410BD">
      <w:pPr>
        <w:pStyle w:val="Listenabsatz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Unsere international ausgerichtete </w:t>
      </w:r>
      <w:proofErr w:type="spellStart"/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Apheresestation</w:t>
      </w:r>
      <w:proofErr w:type="spellEnd"/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ist für die Behandlung seltener schwerer Krankheiten aus der ganzen Medizin eingerichtet.</w:t>
      </w:r>
    </w:p>
    <w:p w14:paraId="6CE63A5B" w14:textId="37011C14" w:rsidR="000A159B" w:rsidRPr="00F410BD" w:rsidRDefault="000A159B" w:rsidP="00F410BD">
      <w:pPr>
        <w:pStyle w:val="Listenabsatz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F410BD">
        <w:rPr>
          <w:rFonts w:ascii="Montserrat" w:hAnsi="Montserrat" w:cs="Arial"/>
          <w:color w:val="135666"/>
          <w:highlight w:val="magenta"/>
          <w:lang w:eastAsia="de-DE"/>
        </w:rPr>
        <w:t xml:space="preserve">Dr. </w:t>
      </w:r>
      <w:r w:rsidR="002E1E3C" w:rsidRPr="00F410BD">
        <w:rPr>
          <w:rFonts w:ascii="Montserrat" w:hAnsi="Montserrat" w:cs="Arial"/>
          <w:color w:val="135666"/>
          <w:highlight w:val="magenta"/>
          <w:lang w:eastAsia="de-DE"/>
        </w:rPr>
        <w:t>….</w:t>
      </w:r>
      <w:r w:rsidRPr="00F410BD">
        <w:rPr>
          <w:rFonts w:ascii="Montserrat" w:hAnsi="Montserrat" w:cs="Arial"/>
          <w:color w:val="135666"/>
          <w:highlight w:val="magenta"/>
          <w:lang w:eastAsia="de-DE"/>
        </w:rPr>
        <w:t xml:space="preserve"> war mehrere Jahre als </w:t>
      </w:r>
      <w:r w:rsidR="00161777" w:rsidRPr="00F410BD">
        <w:rPr>
          <w:rFonts w:ascii="Montserrat" w:hAnsi="Montserrat" w:cs="Arial"/>
          <w:color w:val="135666"/>
          <w:highlight w:val="magenta"/>
          <w:lang w:eastAsia="de-DE"/>
        </w:rPr>
        <w:t>Facharzt für</w:t>
      </w:r>
      <w:proofErr w:type="gramStart"/>
      <w:r w:rsidR="00161777" w:rsidRPr="00F410BD">
        <w:rPr>
          <w:rFonts w:ascii="Montserrat" w:hAnsi="Montserrat" w:cs="Arial"/>
          <w:color w:val="135666"/>
          <w:highlight w:val="magenta"/>
          <w:lang w:eastAsia="de-DE"/>
        </w:rPr>
        <w:t xml:space="preserve"> ….</w:t>
      </w:r>
      <w:proofErr w:type="gramEnd"/>
      <w:r w:rsidR="00161777" w:rsidRPr="00F410BD">
        <w:rPr>
          <w:rFonts w:ascii="Montserrat" w:hAnsi="Montserrat" w:cs="Arial"/>
          <w:color w:val="135666"/>
          <w:highlight w:val="magenta"/>
          <w:lang w:eastAsia="de-DE"/>
        </w:rPr>
        <w:t xml:space="preserve">. </w:t>
      </w:r>
      <w:r w:rsidRPr="00F410BD">
        <w:rPr>
          <w:rFonts w:ascii="Montserrat" w:hAnsi="Montserrat" w:cs="Arial"/>
          <w:color w:val="135666"/>
          <w:highlight w:val="magenta"/>
          <w:lang w:eastAsia="de-DE"/>
        </w:rPr>
        <w:t>t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ätig und führte eigenverantwortlich </w:t>
      </w:r>
      <w:r w:rsidR="00161777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…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Apheresen durch.</w:t>
      </w:r>
    </w:p>
    <w:p w14:paraId="5759B1F7" w14:textId="208637BC" w:rsidR="000A159B" w:rsidRPr="00F410BD" w:rsidRDefault="000A159B" w:rsidP="00F410BD">
      <w:pPr>
        <w:pStyle w:val="Listenabsatz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Ärztlicherseits liegen die notwendigen Grundvoraussetzungen zur Durchführung der therapeutischen Apherese vor: Arzt für Innere Medizin</w:t>
      </w:r>
      <w:r w:rsidR="006248F2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oder …</w:t>
      </w:r>
    </w:p>
    <w:p w14:paraId="270D22C7" w14:textId="144AE82E" w:rsidR="000A159B" w:rsidRPr="00F410BD" w:rsidRDefault="000A159B" w:rsidP="00F410BD">
      <w:pPr>
        <w:pStyle w:val="Listenabsatz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Dr. </w:t>
      </w:r>
      <w:r w:rsidR="006248F2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….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ist seit </w:t>
      </w:r>
      <w:r w:rsidR="006248F2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…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als klinischer Umweltmediziner tätig, sodass hier in besonderer Weise</w:t>
      </w:r>
      <w:proofErr w:type="gramStart"/>
      <w:r w:rsidR="000C15E3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</w:t>
      </w:r>
      <w:r w:rsidR="006248F2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….</w:t>
      </w:r>
      <w:proofErr w:type="gramEnd"/>
      <w:r w:rsidR="006248F2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.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und umweltmedizinische Fachkenntnisse in Diagnostik und Therapie zusammengeführt werden. </w:t>
      </w:r>
    </w:p>
    <w:p w14:paraId="3DFC0229" w14:textId="23812D66" w:rsidR="000A159B" w:rsidRPr="00F410BD" w:rsidRDefault="000A159B" w:rsidP="00F410BD">
      <w:pPr>
        <w:pStyle w:val="Listenabsatz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Es gilt der Grundsatz „ambulant“ geht vor stationär. Die Behandlung und die dazugehörige Diagnostik werden i</w:t>
      </w:r>
      <w:r w:rsidR="000C15E3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n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 </w:t>
      </w:r>
      <w:r w:rsidR="000C15E3"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 xml:space="preserve">&lt;Praxis und Name des Arztes&gt; </w:t>
      </w: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durchgeführt.</w:t>
      </w:r>
    </w:p>
    <w:p w14:paraId="07EBBEE2" w14:textId="77777777" w:rsidR="000A159B" w:rsidRPr="00F410BD" w:rsidRDefault="000A159B" w:rsidP="00F410BD">
      <w:pPr>
        <w:pStyle w:val="Listenabsatz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35666"/>
          <w:highlight w:val="magenta"/>
          <w:lang w:eastAsia="de-DE"/>
        </w:rPr>
      </w:pPr>
      <w:r w:rsidRPr="00F410BD">
        <w:rPr>
          <w:rFonts w:ascii="Montserrat" w:eastAsia="Times New Roman" w:hAnsi="Montserrat" w:cs="Arial"/>
          <w:color w:val="135666"/>
          <w:highlight w:val="magenta"/>
          <w:lang w:eastAsia="de-DE"/>
        </w:rPr>
        <w:t>Somit sind die anfallenden Kosten für Fahrt und Unterbringung zu erstatten; diese sind weitaus kostengünstiger als eine stationäre Unterbringung und die zusätzliche Abrechnung von Apheresen im stationären Bereich nach DRG-Code.</w:t>
      </w:r>
    </w:p>
    <w:p w14:paraId="7A068B5C" w14:textId="77777777" w:rsidR="000A159B" w:rsidRPr="00327788" w:rsidRDefault="000A159B" w:rsidP="000A159B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eastAsia="Times New Roman" w:hAnsi="Montserrat" w:cs="Arial"/>
          <w:color w:val="135666"/>
          <w:lang w:eastAsia="de-DE"/>
        </w:rPr>
      </w:pPr>
    </w:p>
    <w:p w14:paraId="0BB37642" w14:textId="77777777" w:rsidR="00B04470" w:rsidRPr="00327788" w:rsidRDefault="00B04470">
      <w:pPr>
        <w:rPr>
          <w:rFonts w:ascii="Montserrat" w:hAnsi="Montserrat"/>
          <w:color w:val="135666"/>
        </w:rPr>
      </w:pPr>
    </w:p>
    <w:sectPr w:rsidR="00B04470" w:rsidRPr="00327788" w:rsidSect="009F1AB7">
      <w:headerReference w:type="default" r:id="rId15"/>
      <w:footerReference w:type="default" r:id="rId16"/>
      <w:pgSz w:w="11907" w:h="16840"/>
      <w:pgMar w:top="1134" w:right="1134" w:bottom="1134" w:left="124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71509" w14:textId="77777777" w:rsidR="00EC229B" w:rsidRDefault="00EC229B">
      <w:pPr>
        <w:spacing w:after="0" w:line="240" w:lineRule="auto"/>
      </w:pPr>
      <w:r>
        <w:separator/>
      </w:r>
    </w:p>
  </w:endnote>
  <w:endnote w:type="continuationSeparator" w:id="0">
    <w:p w14:paraId="464E2F46" w14:textId="77777777" w:rsidR="00EC229B" w:rsidRDefault="00EC2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4093" w14:textId="5B8B113E" w:rsidR="00615D36" w:rsidRPr="00BD520E" w:rsidRDefault="00615D36" w:rsidP="00615D36">
    <w:pPr>
      <w:pStyle w:val="Fuzeile"/>
      <w:jc w:val="center"/>
      <w:rPr>
        <w:color w:val="595959" w:themeColor="text1" w:themeTint="A6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BD520E">
      <w:rPr>
        <w:color w:val="595959" w:themeColor="text1" w:themeTint="A6"/>
      </w:rPr>
      <w:t xml:space="preserve">Seite </w:t>
    </w:r>
    <w:r w:rsidRPr="00BD520E">
      <w:rPr>
        <w:color w:val="595959" w:themeColor="text1" w:themeTint="A6"/>
      </w:rPr>
      <w:fldChar w:fldCharType="begin"/>
    </w:r>
    <w:r w:rsidRPr="00BD520E">
      <w:rPr>
        <w:color w:val="595959" w:themeColor="text1" w:themeTint="A6"/>
      </w:rPr>
      <w:instrText>PAGE  \* Arabic  \* MERGEFORMAT</w:instrText>
    </w:r>
    <w:r w:rsidRPr="00BD520E">
      <w:rPr>
        <w:color w:val="595959" w:themeColor="text1" w:themeTint="A6"/>
      </w:rPr>
      <w:fldChar w:fldCharType="separate"/>
    </w:r>
    <w:r w:rsidRPr="00BD520E">
      <w:rPr>
        <w:color w:val="595959" w:themeColor="text1" w:themeTint="A6"/>
      </w:rPr>
      <w:t>1</w:t>
    </w:r>
    <w:r w:rsidRPr="00BD520E">
      <w:rPr>
        <w:color w:val="595959" w:themeColor="text1" w:themeTint="A6"/>
      </w:rPr>
      <w:fldChar w:fldCharType="end"/>
    </w:r>
    <w:r w:rsidRPr="00BD520E">
      <w:rPr>
        <w:color w:val="595959" w:themeColor="text1" w:themeTint="A6"/>
      </w:rPr>
      <w:t xml:space="preserve"> von </w:t>
    </w:r>
    <w:r w:rsidRPr="00BD520E">
      <w:rPr>
        <w:color w:val="595959" w:themeColor="text1" w:themeTint="A6"/>
      </w:rPr>
      <w:fldChar w:fldCharType="begin"/>
    </w:r>
    <w:r w:rsidRPr="00BD520E">
      <w:rPr>
        <w:color w:val="595959" w:themeColor="text1" w:themeTint="A6"/>
      </w:rPr>
      <w:instrText>NUMPAGES \* Arabisch \* MERGEFORMAT</w:instrText>
    </w:r>
    <w:r w:rsidRPr="00BD520E">
      <w:rPr>
        <w:color w:val="595959" w:themeColor="text1" w:themeTint="A6"/>
      </w:rPr>
      <w:fldChar w:fldCharType="separate"/>
    </w:r>
    <w:r w:rsidRPr="00BD520E">
      <w:rPr>
        <w:color w:val="595959" w:themeColor="text1" w:themeTint="A6"/>
      </w:rPr>
      <w:t>2</w:t>
    </w:r>
    <w:r w:rsidRPr="00BD520E">
      <w:rPr>
        <w:color w:val="595959" w:themeColor="text1" w:themeTint="A6"/>
      </w:rPr>
      <w:fldChar w:fldCharType="end"/>
    </w:r>
  </w:p>
  <w:p w14:paraId="6F88B42A" w14:textId="2B78FCE8" w:rsidR="008A5F72" w:rsidRPr="00327788" w:rsidRDefault="00615D36" w:rsidP="00615D36">
    <w:pPr>
      <w:pStyle w:val="Normal"/>
      <w:jc w:val="center"/>
      <w:rPr>
        <w:rFonts w:ascii="Montserrat" w:hAnsi="Montserrat"/>
        <w:b/>
        <w:bCs/>
        <w:color w:val="135666"/>
        <w:sz w:val="16"/>
        <w:szCs w:val="16"/>
        <w:lang w:val="de-DE" w:eastAsia="x-none"/>
      </w:rPr>
    </w:pPr>
    <w:r w:rsidRPr="00327788">
      <w:rPr>
        <w:rFonts w:ascii="Montserrat" w:hAnsi="Montserrat"/>
        <w:b/>
        <w:bCs/>
        <w:color w:val="135666"/>
        <w:sz w:val="18"/>
        <w:szCs w:val="18"/>
        <w:highlight w:val="magenta"/>
        <w:lang w:val="de-DE" w:eastAsia="x-none"/>
      </w:rPr>
      <w:t>&lt;Kontaktdaten / Bankverbindung&gt;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1A6D" w14:textId="77777777" w:rsidR="00EC229B" w:rsidRDefault="00EC229B">
      <w:pPr>
        <w:spacing w:after="0" w:line="240" w:lineRule="auto"/>
      </w:pPr>
      <w:r>
        <w:separator/>
      </w:r>
    </w:p>
  </w:footnote>
  <w:footnote w:type="continuationSeparator" w:id="0">
    <w:p w14:paraId="660BCBB8" w14:textId="77777777" w:rsidR="00EC229B" w:rsidRDefault="00EC2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2926" w14:textId="0D735F12" w:rsidR="00463F5D" w:rsidRPr="00E75D67" w:rsidRDefault="00463F5D" w:rsidP="00463F5D">
    <w:pPr>
      <w:pStyle w:val="Normal"/>
      <w:rPr>
        <w:color w:val="000000"/>
        <w:lang w:val="de-DE" w:eastAsia="x-none"/>
      </w:rPr>
    </w:pPr>
    <w:r w:rsidRPr="00327788">
      <w:rPr>
        <w:rFonts w:ascii="Montserrat" w:hAnsi="Montserrat"/>
        <w:b/>
        <w:bCs/>
        <w:color w:val="135666"/>
        <w:sz w:val="44"/>
        <w:szCs w:val="44"/>
        <w:highlight w:val="magenta"/>
        <w:lang w:val="de-DE" w:eastAsia="x-none"/>
      </w:rPr>
      <w:t>&lt;Praxis / Arzt&gt;</w:t>
    </w:r>
    <w:r w:rsidR="00327788" w:rsidRPr="00327788">
      <w:rPr>
        <w:rFonts w:ascii="Montserrat" w:hAnsi="Montserrat"/>
        <w:b/>
        <w:bCs/>
        <w:color w:val="135666"/>
        <w:sz w:val="44"/>
        <w:szCs w:val="44"/>
        <w:lang w:val="de-DE" w:eastAsia="x-none"/>
      </w:rPr>
      <w:tab/>
    </w:r>
    <w:r w:rsidR="00327788">
      <w:rPr>
        <w:b/>
        <w:bCs/>
        <w:color w:val="000000"/>
        <w:sz w:val="44"/>
        <w:szCs w:val="44"/>
        <w:lang w:val="de-DE" w:eastAsia="x-none"/>
      </w:rPr>
      <w:tab/>
    </w:r>
    <w:r w:rsidR="00327788">
      <w:rPr>
        <w:b/>
        <w:bCs/>
        <w:color w:val="000000"/>
        <w:sz w:val="44"/>
        <w:szCs w:val="44"/>
        <w:lang w:val="de-DE" w:eastAsia="x-none"/>
      </w:rPr>
      <w:tab/>
    </w:r>
    <w:r w:rsidR="00327788">
      <w:rPr>
        <w:b/>
        <w:bCs/>
        <w:color w:val="000000"/>
        <w:sz w:val="44"/>
        <w:szCs w:val="44"/>
        <w:lang w:val="de-DE" w:eastAsia="x-none"/>
      </w:rPr>
      <w:tab/>
    </w:r>
    <w:r w:rsidR="00327788">
      <w:rPr>
        <w:b/>
        <w:bCs/>
        <w:color w:val="000000"/>
        <w:sz w:val="44"/>
        <w:szCs w:val="44"/>
        <w:lang w:val="de-DE" w:eastAsia="x-none"/>
      </w:rPr>
      <w:tab/>
    </w:r>
    <w:r w:rsidR="00327788">
      <w:rPr>
        <w:b/>
        <w:bCs/>
        <w:color w:val="000000"/>
        <w:sz w:val="44"/>
        <w:szCs w:val="44"/>
        <w:lang w:val="de-DE" w:eastAsia="x-none"/>
      </w:rPr>
      <w:tab/>
      <w:t xml:space="preserve">  </w:t>
    </w:r>
    <w:r w:rsidR="00327788">
      <w:rPr>
        <w:noProof/>
        <w:color w:val="000000"/>
        <w:lang w:val="de-DE" w:eastAsia="x-none"/>
      </w:rPr>
      <w:drawing>
        <wp:inline distT="0" distB="0" distL="0" distR="0" wp14:anchorId="076D1655" wp14:editId="613A0203">
          <wp:extent cx="1355272" cy="351836"/>
          <wp:effectExtent l="0" t="0" r="3810" b="3810"/>
          <wp:docPr id="62020434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04344" name="Grafik 620204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808" cy="35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25BB99" w14:textId="77777777" w:rsidR="008A5F72" w:rsidRDefault="003835F2">
    <w:pPr>
      <w:pStyle w:val="Normal"/>
      <w:jc w:val="center"/>
      <w:rPr>
        <w:color w:val="000000"/>
        <w:sz w:val="16"/>
        <w:szCs w:val="16"/>
        <w:lang w:eastAsia="x-none"/>
      </w:rPr>
    </w:pPr>
    <w:r>
      <w:rPr>
        <w:color w:val="000000"/>
        <w:sz w:val="16"/>
        <w:szCs w:val="16"/>
        <w:lang w:eastAsia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" w15:restartNumberingAfterBreak="0">
    <w:nsid w:val="01AF4969"/>
    <w:multiLevelType w:val="hybridMultilevel"/>
    <w:tmpl w:val="3032641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36934"/>
    <w:multiLevelType w:val="hybridMultilevel"/>
    <w:tmpl w:val="705CE6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580C16"/>
    <w:multiLevelType w:val="hybridMultilevel"/>
    <w:tmpl w:val="B6B845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33210"/>
    <w:multiLevelType w:val="hybridMultilevel"/>
    <w:tmpl w:val="86DE5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96A32"/>
    <w:multiLevelType w:val="hybridMultilevel"/>
    <w:tmpl w:val="7FAA40F0"/>
    <w:lvl w:ilvl="0" w:tplc="123CE062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9D08F2"/>
    <w:multiLevelType w:val="hybridMultilevel"/>
    <w:tmpl w:val="D22A55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D35A41"/>
    <w:multiLevelType w:val="hybridMultilevel"/>
    <w:tmpl w:val="9DF2CC9E"/>
    <w:lvl w:ilvl="0" w:tplc="123CE0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044099">
    <w:abstractNumId w:val="0"/>
  </w:num>
  <w:num w:numId="2" w16cid:durableId="781463689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</w:num>
  <w:num w:numId="3" w16cid:durableId="256333534">
    <w:abstractNumId w:val="1"/>
  </w:num>
  <w:num w:numId="4" w16cid:durableId="1952735997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</w:num>
  <w:num w:numId="5" w16cid:durableId="1435322737">
    <w:abstractNumId w:val="4"/>
  </w:num>
  <w:num w:numId="6" w16cid:durableId="1089814361">
    <w:abstractNumId w:val="8"/>
  </w:num>
  <w:num w:numId="7" w16cid:durableId="1930847473">
    <w:abstractNumId w:val="5"/>
  </w:num>
  <w:num w:numId="8" w16cid:durableId="883909332">
    <w:abstractNumId w:val="3"/>
  </w:num>
  <w:num w:numId="9" w16cid:durableId="287513731">
    <w:abstractNumId w:val="2"/>
  </w:num>
  <w:num w:numId="10" w16cid:durableId="1238132338">
    <w:abstractNumId w:val="7"/>
  </w:num>
  <w:num w:numId="11" w16cid:durableId="341326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DB"/>
    <w:rsid w:val="000A159B"/>
    <w:rsid w:val="000C15E3"/>
    <w:rsid w:val="00161777"/>
    <w:rsid w:val="0027523B"/>
    <w:rsid w:val="002E1E3C"/>
    <w:rsid w:val="00327788"/>
    <w:rsid w:val="0033708F"/>
    <w:rsid w:val="003577AC"/>
    <w:rsid w:val="003835F2"/>
    <w:rsid w:val="00463F5D"/>
    <w:rsid w:val="00487A4A"/>
    <w:rsid w:val="004D163F"/>
    <w:rsid w:val="00592080"/>
    <w:rsid w:val="005B1308"/>
    <w:rsid w:val="00615D36"/>
    <w:rsid w:val="006248F2"/>
    <w:rsid w:val="00655F65"/>
    <w:rsid w:val="006B0A02"/>
    <w:rsid w:val="006D7D1F"/>
    <w:rsid w:val="006F749F"/>
    <w:rsid w:val="0075653F"/>
    <w:rsid w:val="007944DB"/>
    <w:rsid w:val="007F1697"/>
    <w:rsid w:val="007F3902"/>
    <w:rsid w:val="0087418F"/>
    <w:rsid w:val="008A5F72"/>
    <w:rsid w:val="009A4BB7"/>
    <w:rsid w:val="00B04470"/>
    <w:rsid w:val="00BD520E"/>
    <w:rsid w:val="00EC229B"/>
    <w:rsid w:val="00F410BD"/>
    <w:rsid w:val="00F9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8422"/>
  <w15:chartTrackingRefBased/>
  <w15:docId w15:val="{141DD2D5-0F1F-45ED-B02A-0FC7625A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7944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Hyperlink">
    <w:name w:val="Hyperlink"/>
    <w:basedOn w:val="Absatz-Standardschriftart"/>
    <w:uiPriority w:val="99"/>
    <w:rsid w:val="007944DB"/>
    <w:rPr>
      <w:color w:val="0000FF"/>
      <w:u w:val="single"/>
    </w:rPr>
  </w:style>
  <w:style w:type="character" w:customStyle="1" w:styleId="st">
    <w:name w:val="st"/>
    <w:basedOn w:val="Absatz-Standardschriftart"/>
    <w:uiPriority w:val="99"/>
    <w:rsid w:val="007944DB"/>
  </w:style>
  <w:style w:type="character" w:styleId="Hervorhebung">
    <w:name w:val="Emphasis"/>
    <w:basedOn w:val="Absatz-Standardschriftart"/>
    <w:uiPriority w:val="99"/>
    <w:qFormat/>
    <w:rsid w:val="007944DB"/>
    <w:rPr>
      <w:i/>
      <w:iCs/>
    </w:rPr>
  </w:style>
  <w:style w:type="character" w:styleId="HTMLZitat">
    <w:name w:val="HTML Cite"/>
    <w:basedOn w:val="Absatz-Standardschriftart"/>
    <w:uiPriority w:val="99"/>
    <w:rsid w:val="007944DB"/>
    <w:rPr>
      <w:i/>
      <w:iCs/>
    </w:rPr>
  </w:style>
  <w:style w:type="character" w:customStyle="1" w:styleId="a-size-large">
    <w:name w:val="a-size-large"/>
    <w:basedOn w:val="Absatz-Standardschriftart"/>
    <w:uiPriority w:val="99"/>
    <w:rsid w:val="007944DB"/>
  </w:style>
  <w:style w:type="character" w:customStyle="1" w:styleId="a-size-medium">
    <w:name w:val="a-size-medium"/>
    <w:basedOn w:val="Absatz-Standardschriftart"/>
    <w:uiPriority w:val="99"/>
    <w:rsid w:val="007944DB"/>
  </w:style>
  <w:style w:type="character" w:customStyle="1" w:styleId="a-declarative">
    <w:name w:val="a-declarative"/>
    <w:basedOn w:val="Absatz-Standardschriftart"/>
    <w:uiPriority w:val="99"/>
    <w:rsid w:val="007944DB"/>
  </w:style>
  <w:style w:type="character" w:customStyle="1" w:styleId="a-color-secondary">
    <w:name w:val="a-color-secondary"/>
    <w:basedOn w:val="Absatz-Standardschriftart"/>
    <w:uiPriority w:val="99"/>
    <w:rsid w:val="007944DB"/>
  </w:style>
  <w:style w:type="character" w:customStyle="1" w:styleId="contribution">
    <w:name w:val="contribution"/>
    <w:basedOn w:val="Absatz-Standardschriftart"/>
    <w:uiPriority w:val="99"/>
    <w:rsid w:val="007944DB"/>
  </w:style>
  <w:style w:type="paragraph" w:styleId="Kopfzeile">
    <w:name w:val="header"/>
    <w:basedOn w:val="Standard"/>
    <w:link w:val="KopfzeileZchn"/>
    <w:uiPriority w:val="99"/>
    <w:unhideWhenUsed/>
    <w:rsid w:val="00463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3F5D"/>
  </w:style>
  <w:style w:type="paragraph" w:styleId="Fuzeile">
    <w:name w:val="footer"/>
    <w:basedOn w:val="Standard"/>
    <w:link w:val="FuzeileZchn"/>
    <w:uiPriority w:val="99"/>
    <w:unhideWhenUsed/>
    <w:rsid w:val="00463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3F5D"/>
  </w:style>
  <w:style w:type="paragraph" w:styleId="Listenabsatz">
    <w:name w:val="List Paragraph"/>
    <w:basedOn w:val="Standard"/>
    <w:uiPriority w:val="34"/>
    <w:qFormat/>
    <w:rsid w:val="00F41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fn.eu/aerzte/apheresestandard/" TargetMode="External"/><Relationship Id="rId13" Type="http://schemas.openxmlformats.org/officeDocument/2006/relationships/hyperlink" Target="http://www.amazon.de/Explaining-Unexplained-Illnesses-Fibromyalgia-Post-Traumatic/dp/078902389X/ref=sr_1_2?ie=UTF8&amp;qid=1352814496&amp;sr=8-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undesverfassungsgericht.de" TargetMode="External"/><Relationship Id="rId12" Type="http://schemas.openxmlformats.org/officeDocument/2006/relationships/hyperlink" Target="http://www.worldapheresis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mg-verlag.de/umwelt-medizin-gesellschaft/110_sd1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dgfn.eu/aerzte/apheresestandar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gfn.eu/aerzte/apheresestandard" TargetMode="External"/><Relationship Id="rId14" Type="http://schemas.openxmlformats.org/officeDocument/2006/relationships/hyperlink" Target="http://www.amazon.de/Alfred-Pischinger/e/B00J58S6VI/ref=dp_byline_cont_book_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1751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Burgard Dr.</dc:creator>
  <cp:keywords/>
  <dc:description/>
  <cp:lastModifiedBy>Sandra Jurek</cp:lastModifiedBy>
  <cp:revision>8</cp:revision>
  <dcterms:created xsi:type="dcterms:W3CDTF">2022-10-27T19:33:00Z</dcterms:created>
  <dcterms:modified xsi:type="dcterms:W3CDTF">2026-05-29T12:24:00Z</dcterms:modified>
</cp:coreProperties>
</file>