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9C54F" w14:textId="63BF8140"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44CE5908" w14:textId="3B3A5E26"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493AB444" w14:textId="6C227416"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15DD1C3C" w14:textId="1F922F3C" w:rsidR="00325355" w:rsidRPr="00B473AA" w:rsidRDefault="00C063EA" w:rsidP="00325355">
      <w:pPr>
        <w:widowControl w:val="0"/>
        <w:autoSpaceDE w:val="0"/>
        <w:autoSpaceDN w:val="0"/>
        <w:adjustRightInd w:val="0"/>
        <w:spacing w:after="0" w:line="264" w:lineRule="auto"/>
        <w:rPr>
          <w:rFonts w:ascii="Montserrat" w:hAnsi="Montserrat" w:cs="Arial"/>
          <w:color w:val="135666"/>
          <w:lang w:eastAsia="x-none"/>
        </w:rPr>
      </w:pPr>
      <w:r w:rsidRPr="00B473AA">
        <w:rPr>
          <w:rFonts w:ascii="Montserrat" w:hAnsi="Montserrat" w:cs="Arial"/>
          <w:color w:val="135666"/>
          <w:highlight w:val="magenta"/>
          <w:lang w:eastAsia="x-none"/>
        </w:rPr>
        <w:t>&lt;Patientenanschrift&gt;</w:t>
      </w:r>
    </w:p>
    <w:p w14:paraId="028FDA8A" w14:textId="77777777" w:rsidR="00325355" w:rsidRPr="00B473AA" w:rsidRDefault="00325355" w:rsidP="00325355">
      <w:pPr>
        <w:widowControl w:val="0"/>
        <w:autoSpaceDE w:val="0"/>
        <w:autoSpaceDN w:val="0"/>
        <w:adjustRightInd w:val="0"/>
        <w:spacing w:after="0" w:line="264" w:lineRule="auto"/>
        <w:jc w:val="right"/>
        <w:rPr>
          <w:rFonts w:ascii="Montserrat" w:hAnsi="Montserrat" w:cs="Arial"/>
          <w:color w:val="135666"/>
          <w:lang w:val="x-none" w:eastAsia="x-none"/>
        </w:rPr>
      </w:pPr>
    </w:p>
    <w:p w14:paraId="4D59B261" w14:textId="4C235565" w:rsidR="00325355" w:rsidRPr="00B473AA" w:rsidRDefault="00325355" w:rsidP="00325355">
      <w:pPr>
        <w:widowControl w:val="0"/>
        <w:autoSpaceDE w:val="0"/>
        <w:autoSpaceDN w:val="0"/>
        <w:adjustRightInd w:val="0"/>
        <w:spacing w:after="0" w:line="264" w:lineRule="auto"/>
        <w:jc w:val="right"/>
        <w:rPr>
          <w:rFonts w:ascii="Montserrat" w:hAnsi="Montserrat" w:cs="Arial"/>
          <w:color w:val="135666"/>
          <w:lang w:val="x-none" w:eastAsia="x-none"/>
        </w:rPr>
      </w:pPr>
      <w:r w:rsidRPr="00B473AA">
        <w:rPr>
          <w:rFonts w:ascii="Montserrat" w:hAnsi="Montserrat" w:cs="Arial"/>
          <w:color w:val="135666"/>
          <w:highlight w:val="magenta"/>
          <w:lang w:val="x-none" w:eastAsia="x-none"/>
        </w:rPr>
        <w:t>&lt;Tagesdatum&gt;</w:t>
      </w:r>
      <w:r w:rsidRPr="00B473AA">
        <w:rPr>
          <w:rFonts w:ascii="Montserrat" w:hAnsi="Montserrat" w:cs="Arial"/>
          <w:color w:val="135666"/>
          <w:lang w:val="x-none" w:eastAsia="x-none"/>
        </w:rPr>
        <w:t xml:space="preserve"> </w:t>
      </w:r>
    </w:p>
    <w:p w14:paraId="349F3ECC" w14:textId="77777777" w:rsidR="00C063EA" w:rsidRPr="00B473AA" w:rsidRDefault="00C063EA" w:rsidP="00325355">
      <w:pPr>
        <w:widowControl w:val="0"/>
        <w:autoSpaceDE w:val="0"/>
        <w:autoSpaceDN w:val="0"/>
        <w:adjustRightInd w:val="0"/>
        <w:spacing w:after="0" w:line="264" w:lineRule="auto"/>
        <w:rPr>
          <w:rFonts w:ascii="Montserrat" w:hAnsi="Montserrat" w:cs="Arial"/>
          <w:color w:val="135666"/>
          <w:u w:val="single"/>
          <w:lang w:val="x-none" w:eastAsia="x-none"/>
        </w:rPr>
      </w:pPr>
    </w:p>
    <w:p w14:paraId="0FBDC7EB" w14:textId="77777777" w:rsidR="00C063EA" w:rsidRPr="00B473AA" w:rsidRDefault="00C063EA" w:rsidP="00325355">
      <w:pPr>
        <w:widowControl w:val="0"/>
        <w:autoSpaceDE w:val="0"/>
        <w:autoSpaceDN w:val="0"/>
        <w:adjustRightInd w:val="0"/>
        <w:spacing w:after="0" w:line="264" w:lineRule="auto"/>
        <w:rPr>
          <w:rFonts w:ascii="Montserrat" w:hAnsi="Montserrat" w:cs="Arial"/>
          <w:color w:val="135666"/>
          <w:u w:val="single"/>
          <w:lang w:val="x-none" w:eastAsia="x-none"/>
        </w:rPr>
      </w:pPr>
    </w:p>
    <w:p w14:paraId="49A2065F" w14:textId="7A5EECFA" w:rsidR="00325355" w:rsidRPr="00B473AA" w:rsidRDefault="00325355" w:rsidP="00325355">
      <w:pPr>
        <w:widowControl w:val="0"/>
        <w:autoSpaceDE w:val="0"/>
        <w:autoSpaceDN w:val="0"/>
        <w:adjustRightInd w:val="0"/>
        <w:spacing w:after="0" w:line="264" w:lineRule="auto"/>
        <w:rPr>
          <w:rFonts w:ascii="Montserrat" w:hAnsi="Montserrat" w:cs="Arial"/>
          <w:color w:val="135666"/>
          <w:lang w:eastAsia="x-none"/>
        </w:rPr>
      </w:pPr>
      <w:r w:rsidRPr="00B473AA">
        <w:rPr>
          <w:rFonts w:ascii="Montserrat" w:hAnsi="Montserrat" w:cs="Arial"/>
          <w:color w:val="135666"/>
          <w:u w:val="single"/>
          <w:lang w:val="x-none" w:eastAsia="x-none"/>
        </w:rPr>
        <w:t>Betreff:</w:t>
      </w:r>
      <w:r w:rsidRPr="00B473AA">
        <w:rPr>
          <w:rFonts w:ascii="Montserrat" w:hAnsi="Montserrat" w:cs="Arial"/>
          <w:color w:val="135666"/>
          <w:lang w:val="x-none" w:eastAsia="x-none"/>
        </w:rPr>
        <w:t xml:space="preserve"> </w:t>
      </w:r>
      <w:r w:rsidRPr="00B473AA">
        <w:rPr>
          <w:rFonts w:ascii="Montserrat" w:hAnsi="Montserrat" w:cs="Arial"/>
          <w:b/>
          <w:bCs/>
          <w:color w:val="135666"/>
          <w:lang w:val="x-none" w:eastAsia="x-none"/>
        </w:rPr>
        <w:t xml:space="preserve">Informationen zu den Analysen nach </w:t>
      </w:r>
      <w:r w:rsidR="001B6CB0" w:rsidRPr="00B473AA">
        <w:rPr>
          <w:rFonts w:ascii="Montserrat" w:hAnsi="Montserrat" w:cs="Arial"/>
          <w:b/>
          <w:bCs/>
          <w:color w:val="135666"/>
          <w:highlight w:val="magenta"/>
          <w:lang w:eastAsia="x-none"/>
        </w:rPr>
        <w:t>therapeutischen Apherese / Toxopherese</w:t>
      </w:r>
      <w:r w:rsidR="001B6CB0" w:rsidRPr="00B473AA">
        <w:rPr>
          <w:rFonts w:ascii="Montserrat" w:eastAsia="Times New Roman" w:hAnsi="Montserrat" w:cs="Arial"/>
          <w:b/>
          <w:bCs/>
          <w:color w:val="135666"/>
          <w:position w:val="6"/>
          <w:highlight w:val="magenta"/>
          <w:lang w:eastAsia="x-none"/>
        </w:rPr>
        <w:t>®</w:t>
      </w:r>
    </w:p>
    <w:p w14:paraId="2909E284" w14:textId="77777777" w:rsidR="000D733A" w:rsidRPr="00B473AA" w:rsidRDefault="000D733A" w:rsidP="000D733A">
      <w:pPr>
        <w:pStyle w:val="Normal"/>
        <w:spacing w:line="264" w:lineRule="auto"/>
        <w:rPr>
          <w:rFonts w:ascii="Montserrat" w:hAnsi="Montserrat"/>
          <w:color w:val="135666"/>
          <w:sz w:val="22"/>
          <w:szCs w:val="22"/>
          <w:highlight w:val="magenta"/>
          <w:lang w:eastAsia="x-none"/>
        </w:rPr>
      </w:pPr>
    </w:p>
    <w:p w14:paraId="0890C64A" w14:textId="7EBE05B5" w:rsidR="000D733A" w:rsidRPr="00B473AA" w:rsidRDefault="000D733A" w:rsidP="000D733A">
      <w:pPr>
        <w:pStyle w:val="Normal"/>
        <w:spacing w:line="264" w:lineRule="auto"/>
        <w:rPr>
          <w:rFonts w:ascii="Montserrat" w:hAnsi="Montserrat"/>
          <w:color w:val="135666"/>
          <w:sz w:val="22"/>
          <w:szCs w:val="22"/>
          <w:lang w:eastAsia="x-none"/>
        </w:rPr>
      </w:pPr>
      <w:r w:rsidRPr="00B473AA">
        <w:rPr>
          <w:rFonts w:ascii="Montserrat" w:hAnsi="Montserrat"/>
          <w:color w:val="135666"/>
          <w:sz w:val="22"/>
          <w:szCs w:val="22"/>
          <w:highlight w:val="magenta"/>
          <w:lang w:eastAsia="x-none"/>
        </w:rPr>
        <w:t>&lt;Rechnungsempf</w:t>
      </w:r>
      <w:r w:rsidRPr="00B473AA">
        <w:rPr>
          <w:rFonts w:ascii="Montserrat" w:eastAsia="Times New Roman" w:hAnsi="Montserrat"/>
          <w:color w:val="135666"/>
          <w:sz w:val="22"/>
          <w:szCs w:val="22"/>
          <w:highlight w:val="magenta"/>
          <w:lang w:eastAsia="x-none"/>
        </w:rPr>
        <w:t>änger Briefanrede&gt;</w:t>
      </w:r>
      <w:r w:rsidRPr="00B473AA">
        <w:rPr>
          <w:rFonts w:ascii="Montserrat" w:hAnsi="Montserrat"/>
          <w:color w:val="135666"/>
          <w:sz w:val="22"/>
          <w:szCs w:val="22"/>
          <w:lang w:eastAsia="x-none"/>
        </w:rPr>
        <w:t xml:space="preserve"> </w:t>
      </w:r>
    </w:p>
    <w:p w14:paraId="28966280" w14:textId="7B43B1D3" w:rsidR="00325355" w:rsidRPr="00B473AA" w:rsidRDefault="000D733A" w:rsidP="000D733A">
      <w:pPr>
        <w:pStyle w:val="Normal"/>
        <w:tabs>
          <w:tab w:val="left" w:pos="3700"/>
        </w:tabs>
        <w:spacing w:line="264" w:lineRule="auto"/>
        <w:rPr>
          <w:rFonts w:ascii="Montserrat" w:hAnsi="Montserrat"/>
          <w:b/>
          <w:bCs/>
          <w:color w:val="135666"/>
          <w:lang w:eastAsia="x-none"/>
        </w:rPr>
      </w:pPr>
      <w:r w:rsidRPr="00B473AA">
        <w:rPr>
          <w:rFonts w:ascii="Montserrat" w:hAnsi="Montserrat"/>
          <w:b/>
          <w:bCs/>
          <w:color w:val="135666"/>
          <w:lang w:eastAsia="x-none"/>
        </w:rPr>
        <w:tab/>
      </w:r>
    </w:p>
    <w:p w14:paraId="2C4D9FCB" w14:textId="64114E22" w:rsidR="00325355" w:rsidRPr="00B473AA" w:rsidRDefault="00055272"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noProof/>
          <w:color w:val="135666"/>
        </w:rPr>
        <mc:AlternateContent>
          <mc:Choice Requires="wps">
            <w:drawing>
              <wp:anchor distT="0" distB="0" distL="114300" distR="114300" simplePos="0" relativeHeight="251659264" behindDoc="0" locked="0" layoutInCell="1" allowOverlap="1" wp14:anchorId="57CB745B" wp14:editId="27B096D9">
                <wp:simplePos x="0" y="0"/>
                <wp:positionH relativeFrom="column">
                  <wp:posOffset>0</wp:posOffset>
                </wp:positionH>
                <wp:positionV relativeFrom="paragraph">
                  <wp:posOffset>1637665</wp:posOffset>
                </wp:positionV>
                <wp:extent cx="6737711" cy="2278519"/>
                <wp:effectExtent l="0" t="1638300" r="0" b="1633220"/>
                <wp:wrapNone/>
                <wp:docPr id="1" name="Textfeld 1"/>
                <wp:cNvGraphicFramePr/>
                <a:graphic xmlns:a="http://schemas.openxmlformats.org/drawingml/2006/main">
                  <a:graphicData uri="http://schemas.microsoft.com/office/word/2010/wordprocessingShape">
                    <wps:wsp>
                      <wps:cNvSpPr txBox="1"/>
                      <wps:spPr>
                        <a:xfrm rot="19555828">
                          <a:off x="0" y="0"/>
                          <a:ext cx="6737711" cy="2278519"/>
                        </a:xfrm>
                        <a:prstGeom prst="rect">
                          <a:avLst/>
                        </a:prstGeom>
                        <a:noFill/>
                        <a:ln>
                          <a:noFill/>
                        </a:ln>
                      </wps:spPr>
                      <wps:txbx>
                        <w:txbxContent>
                          <w:p w14:paraId="60CEEFB1" w14:textId="77777777" w:rsidR="00055272" w:rsidRPr="009D31BA" w:rsidRDefault="00055272" w:rsidP="00055272">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CB745B" id="_x0000_t202" coordsize="21600,21600" o:spt="202" path="m,l,21600r21600,l21600,xe">
                <v:stroke joinstyle="miter"/>
                <v:path gradientshapeok="t" o:connecttype="rect"/>
              </v:shapetype>
              <v:shape id="Textfeld 1" o:spid="_x0000_s1026" type="#_x0000_t202" style="position:absolute;margin-left:0;margin-top:128.95pt;width:530.55pt;height:179.4pt;rotation:-223278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" filled="f" stroked="f">
                <v:textbox>
                  <w:txbxContent>
                    <w:p w14:paraId="60CEEFB1" w14:textId="77777777" w:rsidR="00055272" w:rsidRPr="009D31BA" w:rsidRDefault="00055272" w:rsidP="00055272">
                      <w:pPr>
                        <w:pStyle w:val="Normal"/>
                        <w:spacing w:line="264" w:lineRule="auto"/>
                        <w:jc w:val="center"/>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pPr>
                      <w:r w:rsidRPr="009D31BA">
                        <w:rPr>
                          <w:rFonts w:eastAsia="Times New Roman"/>
                          <w:b/>
                          <w:color w:val="E7E6E6" w:themeColor="background2"/>
                          <w:spacing w:val="10"/>
                          <w:sz w:val="300"/>
                          <w:szCs w:val="300"/>
                          <w:lang w:val="de-DE" w:eastAsia="x-none"/>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2">
                                <w14:alpha w14:val="62191"/>
                              </w14:schemeClr>
                            </w14:solidFill>
                          </w14:textFill>
                        </w:rPr>
                        <w:t>Muster</w:t>
                      </w:r>
                    </w:p>
                  </w:txbxContent>
                </v:textbox>
              </v:shape>
            </w:pict>
          </mc:Fallback>
        </mc:AlternateContent>
      </w:r>
      <w:r w:rsidR="002B0F8D" w:rsidRPr="00B473AA">
        <w:rPr>
          <w:rFonts w:ascii="Montserrat" w:hAnsi="Montserrat" w:cs="Arial"/>
          <w:color w:val="135666"/>
          <w:lang w:eastAsia="x-none"/>
        </w:rPr>
        <w:t>Wie</w:t>
      </w:r>
      <w:r w:rsidR="00F776FF" w:rsidRPr="00B473AA">
        <w:rPr>
          <w:rFonts w:ascii="Montserrat" w:hAnsi="Montserrat" w:cs="Arial"/>
          <w:color w:val="135666"/>
          <w:lang w:eastAsia="x-none"/>
        </w:rPr>
        <w:t xml:space="preserve"> </w:t>
      </w:r>
      <w:r w:rsidR="00325355" w:rsidRPr="00B473AA">
        <w:rPr>
          <w:rFonts w:ascii="Montserrat" w:hAnsi="Montserrat" w:cs="Arial"/>
          <w:color w:val="135666"/>
          <w:lang w:val="x-none" w:eastAsia="x-none"/>
        </w:rPr>
        <w:t>besprochen erhalten Sie hiermit eine zus</w:t>
      </w:r>
      <w:r w:rsidR="00325355" w:rsidRPr="00B473AA">
        <w:rPr>
          <w:rFonts w:ascii="Montserrat" w:eastAsia="Times New Roman" w:hAnsi="Montserrat" w:cs="Arial"/>
          <w:color w:val="135666"/>
          <w:lang w:val="x-none" w:eastAsia="x-none"/>
        </w:rPr>
        <w:t>ätzliche allgemeine Information zu den erhobenen Befunden.</w:t>
      </w:r>
    </w:p>
    <w:p w14:paraId="38F7F9A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1C322DE7"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Diagnosen:</w:t>
      </w:r>
    </w:p>
    <w:p w14:paraId="4C17B868" w14:textId="1AF41BED"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color w:val="135666"/>
          <w:highlight w:val="magenta"/>
          <w:lang w:val="x-none" w:eastAsia="x-none"/>
        </w:rPr>
        <w:t>&lt;Patienten Aufnahmediagnose&gt;</w:t>
      </w:r>
      <w:r w:rsidRPr="00B473AA">
        <w:rPr>
          <w:rFonts w:ascii="Montserrat" w:hAnsi="Montserrat" w:cs="Arial"/>
          <w:color w:val="135666"/>
          <w:lang w:val="x-none" w:eastAsia="x-none"/>
        </w:rPr>
        <w:t xml:space="preserve"> </w:t>
      </w:r>
    </w:p>
    <w:p w14:paraId="450A3E2E"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350040BB"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Ganzk</w:t>
      </w:r>
      <w:r w:rsidRPr="00B473AA">
        <w:rPr>
          <w:rFonts w:ascii="Montserrat" w:eastAsia="Times New Roman" w:hAnsi="Montserrat" w:cs="Arial"/>
          <w:b/>
          <w:bCs/>
          <w:color w:val="135666"/>
          <w:u w:val="single"/>
          <w:lang w:val="x-none" w:eastAsia="x-none"/>
        </w:rPr>
        <w:t>örper-Untersuchung:</w:t>
      </w:r>
    </w:p>
    <w:p w14:paraId="65C00D7D"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13D26029"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08BFC004" w14:textId="77777777" w:rsidR="00325355" w:rsidRPr="00B473AA" w:rsidRDefault="00325355" w:rsidP="00325355">
      <w:pPr>
        <w:widowControl w:val="0"/>
        <w:autoSpaceDE w:val="0"/>
        <w:autoSpaceDN w:val="0"/>
        <w:adjustRightInd w:val="0"/>
        <w:spacing w:after="0" w:line="264" w:lineRule="auto"/>
        <w:rPr>
          <w:rFonts w:ascii="Montserrat" w:hAnsi="Montserrat" w:cs="Arial"/>
          <w:b/>
          <w:bCs/>
          <w:color w:val="135666"/>
          <w:u w:val="single"/>
          <w:lang w:val="x-none" w:eastAsia="x-none"/>
        </w:rPr>
      </w:pPr>
      <w:r w:rsidRPr="00B473AA">
        <w:rPr>
          <w:rFonts w:ascii="Montserrat" w:hAnsi="Montserrat" w:cs="Arial"/>
          <w:b/>
          <w:bCs/>
          <w:color w:val="135666"/>
          <w:u w:val="single"/>
          <w:lang w:val="x-none" w:eastAsia="x-none"/>
        </w:rPr>
        <w:t>Befunde Labor:</w:t>
      </w:r>
    </w:p>
    <w:p w14:paraId="3F3618FE"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1969A350"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04AB0224"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color w:val="135666"/>
          <w:highlight w:val="magenta"/>
          <w:lang w:val="x-none" w:eastAsia="x-none"/>
        </w:rPr>
        <w:t>&lt;Krankenblattpositionen&gt;</w:t>
      </w:r>
      <w:r w:rsidRPr="00B473AA">
        <w:rPr>
          <w:rFonts w:ascii="Montserrat" w:hAnsi="Montserrat" w:cs="Arial"/>
          <w:color w:val="135666"/>
          <w:lang w:val="x-none" w:eastAsia="x-none"/>
        </w:rPr>
        <w:t xml:space="preserve"> </w:t>
      </w:r>
    </w:p>
    <w:p w14:paraId="2F7DDCE5"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0A90116A"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color w:val="135666"/>
          <w:lang w:val="x-none" w:eastAsia="x-none"/>
        </w:rPr>
        <w:t xml:space="preserve">  </w:t>
      </w:r>
    </w:p>
    <w:p w14:paraId="53F8C947"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Anmerkungen zur Interpretation auff</w:t>
      </w:r>
      <w:r w:rsidRPr="00B473AA">
        <w:rPr>
          <w:rFonts w:ascii="Montserrat" w:eastAsia="Times New Roman" w:hAnsi="Montserrat" w:cs="Arial"/>
          <w:b/>
          <w:bCs/>
          <w:color w:val="135666"/>
          <w:u w:val="single"/>
          <w:lang w:val="x-none" w:eastAsia="x-none"/>
        </w:rPr>
        <w:t>älliger Laborwerte:</w:t>
      </w:r>
    </w:p>
    <w:p w14:paraId="0A4E845C"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01386F8E"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 xml:space="preserve">Leukozyten </w:t>
      </w:r>
      <w:r w:rsidRPr="00B473AA">
        <w:rPr>
          <w:rFonts w:ascii="Montserrat" w:hAnsi="Montserrat" w:cs="Arial"/>
          <w:color w:val="135666"/>
          <w:lang w:val="x-none" w:eastAsia="x-none"/>
        </w:rPr>
        <w:t xml:space="preserve">ab 6,8 </w:t>
      </w:r>
      <w:proofErr w:type="spellStart"/>
      <w:r w:rsidRPr="00B473AA">
        <w:rPr>
          <w:rFonts w:ascii="Montserrat" w:hAnsi="Montserrat" w:cs="Arial"/>
          <w:color w:val="135666"/>
          <w:lang w:val="x-none" w:eastAsia="x-none"/>
        </w:rPr>
        <w:t>Tsd</w:t>
      </w:r>
      <w:proofErr w:type="spellEnd"/>
      <w:r w:rsidRPr="00B473AA">
        <w:rPr>
          <w:rFonts w:ascii="Montserrat" w:hAnsi="Montserrat" w:cs="Arial"/>
          <w:color w:val="135666"/>
          <w:lang w:val="x-none" w:eastAsia="x-none"/>
        </w:rPr>
        <w:t>/</w:t>
      </w:r>
      <w:r w:rsidRPr="00B473AA">
        <w:rPr>
          <w:rFonts w:ascii="Montserrat" w:eastAsia="Times New Roman" w:hAnsi="Montserrat" w:cs="Arial"/>
          <w:color w:val="135666"/>
          <w:lang w:val="x-none" w:eastAsia="x-none"/>
        </w:rPr>
        <w:t>µl zeigen eine chronische Entzündung an (sofern kein Cortison genommen wird, eine akute Entzündung vorliegt oder gerade am Abklingen ist).</w:t>
      </w:r>
    </w:p>
    <w:p w14:paraId="6D1C3B8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6F258D6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Auch eine erhöhte </w:t>
      </w:r>
      <w:r w:rsidRPr="00B473AA">
        <w:rPr>
          <w:rFonts w:ascii="Montserrat" w:hAnsi="Montserrat" w:cs="Arial"/>
          <w:b/>
          <w:bCs/>
          <w:color w:val="135666"/>
          <w:lang w:val="x-none" w:eastAsia="x-none"/>
        </w:rPr>
        <w:t xml:space="preserve">Blutsenkungsgeschwindigkeit (BSG) </w:t>
      </w:r>
      <w:r w:rsidRPr="00B473AA">
        <w:rPr>
          <w:rFonts w:ascii="Montserrat" w:hAnsi="Montserrat" w:cs="Arial"/>
          <w:color w:val="135666"/>
          <w:lang w:val="x-none" w:eastAsia="x-none"/>
        </w:rPr>
        <w:t>gr</w:t>
      </w:r>
      <w:r w:rsidRPr="00B473AA">
        <w:rPr>
          <w:rFonts w:ascii="Montserrat" w:eastAsia="Times New Roman" w:hAnsi="Montserrat" w:cs="Arial"/>
          <w:color w:val="135666"/>
          <w:lang w:val="x-none" w:eastAsia="x-none"/>
        </w:rPr>
        <w:t xml:space="preserve">ößer 10/20 ist ein Hinweis auf (chron.) Entzündung. Gleiches gilt für ein erhöhtes </w:t>
      </w:r>
      <w:r w:rsidRPr="00B473AA">
        <w:rPr>
          <w:rFonts w:ascii="Montserrat" w:hAnsi="Montserrat" w:cs="Arial"/>
          <w:b/>
          <w:bCs/>
          <w:color w:val="135666"/>
          <w:lang w:val="x-none" w:eastAsia="x-none"/>
        </w:rPr>
        <w:t xml:space="preserve">CRP </w:t>
      </w:r>
      <w:r w:rsidRPr="00B473AA">
        <w:rPr>
          <w:rFonts w:ascii="Montserrat" w:hAnsi="Montserrat" w:cs="Arial"/>
          <w:color w:val="135666"/>
          <w:lang w:val="x-none" w:eastAsia="x-none"/>
        </w:rPr>
        <w:t>(C-reaktives Protein), welches unter 2mg/l sein sollte. Werte zwischen 2-5mg/l zeigen eine chronische (oder abklingende) Entz</w:t>
      </w:r>
      <w:r w:rsidRPr="00B473AA">
        <w:rPr>
          <w:rFonts w:ascii="Montserrat" w:eastAsia="Times New Roman" w:hAnsi="Montserrat" w:cs="Arial"/>
          <w:color w:val="135666"/>
          <w:lang w:val="x-none" w:eastAsia="x-none"/>
        </w:rPr>
        <w:t>ündung an, Werte &gt;5 eine akute.</w:t>
      </w:r>
    </w:p>
    <w:p w14:paraId="0EAF880F"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Auch die </w:t>
      </w:r>
      <w:r w:rsidRPr="00B473AA">
        <w:rPr>
          <w:rFonts w:ascii="Montserrat" w:hAnsi="Montserrat" w:cs="Arial"/>
          <w:b/>
          <w:bCs/>
          <w:color w:val="135666"/>
          <w:lang w:val="x-none" w:eastAsia="x-none"/>
        </w:rPr>
        <w:t>alpha- und beta-Globuline</w:t>
      </w:r>
      <w:r w:rsidRPr="00B473AA">
        <w:rPr>
          <w:rFonts w:ascii="Montserrat" w:hAnsi="Montserrat" w:cs="Arial"/>
          <w:color w:val="135666"/>
          <w:lang w:val="x-none" w:eastAsia="x-none"/>
        </w:rPr>
        <w:t xml:space="preserve"> in der Serumelektrophorese zeigen chronische oder akute Entz</w:t>
      </w:r>
      <w:r w:rsidRPr="00B473AA">
        <w:rPr>
          <w:rFonts w:ascii="Montserrat" w:eastAsia="Times New Roman" w:hAnsi="Montserrat" w:cs="Arial"/>
          <w:color w:val="135666"/>
          <w:lang w:val="x-none" w:eastAsia="x-none"/>
        </w:rPr>
        <w:t>ündungen an, sofern sie erhöht sind.</w:t>
      </w:r>
    </w:p>
    <w:p w14:paraId="7F036BDB"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14DAA8B"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Eine erhöhte </w:t>
      </w:r>
      <w:r w:rsidRPr="00B473AA">
        <w:rPr>
          <w:rFonts w:ascii="Montserrat" w:hAnsi="Montserrat" w:cs="Arial"/>
          <w:b/>
          <w:bCs/>
          <w:color w:val="135666"/>
          <w:lang w:val="x-none" w:eastAsia="x-none"/>
        </w:rPr>
        <w:t xml:space="preserve">M2PK </w:t>
      </w:r>
      <w:r w:rsidRPr="00B473AA">
        <w:rPr>
          <w:rFonts w:ascii="Montserrat" w:hAnsi="Montserrat" w:cs="Arial"/>
          <w:color w:val="135666"/>
          <w:lang w:val="x-none" w:eastAsia="x-none"/>
        </w:rPr>
        <w:t>(M2-Pyruvatkinase) oberhalb von 15 ist ein Hinweis auf St</w:t>
      </w:r>
      <w:r w:rsidRPr="00B473AA">
        <w:rPr>
          <w:rFonts w:ascii="Montserrat" w:eastAsia="Times New Roman" w:hAnsi="Montserrat" w:cs="Arial"/>
          <w:color w:val="135666"/>
          <w:lang w:val="x-none" w:eastAsia="x-none"/>
        </w:rPr>
        <w:t xml:space="preserve">örung der Zellatmung/Energiegewinnung, </w:t>
      </w:r>
      <w:proofErr w:type="spellStart"/>
      <w:r w:rsidRPr="00B473AA">
        <w:rPr>
          <w:rFonts w:ascii="Montserrat" w:eastAsia="Times New Roman" w:hAnsi="Montserrat" w:cs="Arial"/>
          <w:color w:val="135666"/>
          <w:lang w:val="x-none" w:eastAsia="x-none"/>
        </w:rPr>
        <w:t>zB</w:t>
      </w:r>
      <w:proofErr w:type="spellEnd"/>
      <w:r w:rsidRPr="00B473AA">
        <w:rPr>
          <w:rFonts w:ascii="Montserrat" w:eastAsia="Times New Roman" w:hAnsi="Montserrat" w:cs="Arial"/>
          <w:color w:val="135666"/>
          <w:lang w:val="x-none" w:eastAsia="x-none"/>
        </w:rPr>
        <w:t xml:space="preserve"> ausgelöst durch Schwermetalle, Viren, Mangelerscheinungen etc.</w:t>
      </w:r>
    </w:p>
    <w:p w14:paraId="5B94653F"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66FCF80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roofErr w:type="spellStart"/>
      <w:r w:rsidRPr="00B473AA">
        <w:rPr>
          <w:rFonts w:ascii="Montserrat" w:hAnsi="Montserrat" w:cs="Arial"/>
          <w:b/>
          <w:bCs/>
          <w:color w:val="135666"/>
          <w:lang w:val="x-none" w:eastAsia="x-none"/>
        </w:rPr>
        <w:t>Zonulin</w:t>
      </w:r>
      <w:proofErr w:type="spellEnd"/>
      <w:r w:rsidRPr="00B473AA">
        <w:rPr>
          <w:rFonts w:ascii="Montserrat" w:hAnsi="Montserrat" w:cs="Arial"/>
          <w:color w:val="135666"/>
          <w:lang w:val="x-none" w:eastAsia="x-none"/>
        </w:rPr>
        <w:t xml:space="preserve">-Werte &gt;25 im Blut sind ein Hinweis auf </w:t>
      </w:r>
      <w:proofErr w:type="spellStart"/>
      <w:r w:rsidRPr="00B473AA">
        <w:rPr>
          <w:rFonts w:ascii="Montserrat" w:hAnsi="Montserrat" w:cs="Arial"/>
          <w:color w:val="135666"/>
          <w:lang w:val="x-none" w:eastAsia="x-none"/>
        </w:rPr>
        <w:t>leaky</w:t>
      </w:r>
      <w:proofErr w:type="spellEnd"/>
      <w:r w:rsidRPr="00B473AA">
        <w:rPr>
          <w:rFonts w:ascii="Montserrat" w:hAnsi="Montserrat" w:cs="Arial"/>
          <w:color w:val="135666"/>
          <w:lang w:val="x-none" w:eastAsia="x-none"/>
        </w:rPr>
        <w:t>-gut-Syndrom. Oft ist dabei im Stuhl auch der a1-Antitrypsin erh</w:t>
      </w:r>
      <w:r w:rsidRPr="00B473AA">
        <w:rPr>
          <w:rFonts w:ascii="Montserrat" w:eastAsia="Times New Roman" w:hAnsi="Montserrat" w:cs="Arial"/>
          <w:color w:val="135666"/>
          <w:lang w:val="x-none" w:eastAsia="x-none"/>
        </w:rPr>
        <w:t xml:space="preserve">öht, und bestimmte Keime der Darmflora erniedrigt. </w:t>
      </w:r>
    </w:p>
    <w:p w14:paraId="11C50695"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E9A3F45"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lastRenderedPageBreak/>
        <w:t xml:space="preserve">Ferritin </w:t>
      </w:r>
      <w:r w:rsidRPr="00B473AA">
        <w:rPr>
          <w:rFonts w:ascii="Montserrat" w:hAnsi="Montserrat" w:cs="Arial"/>
          <w:color w:val="135666"/>
          <w:lang w:val="x-none" w:eastAsia="x-none"/>
        </w:rPr>
        <w:t>ist der Wert, der Ihre Eisenspeicher repr</w:t>
      </w:r>
      <w:r w:rsidRPr="00B473AA">
        <w:rPr>
          <w:rFonts w:ascii="Montserrat" w:eastAsia="Times New Roman" w:hAnsi="Montserrat" w:cs="Arial"/>
          <w:color w:val="135666"/>
          <w:lang w:val="x-none" w:eastAsia="x-none"/>
        </w:rPr>
        <w:t>äsentiert. Er reagiert als akute Phase-Reaktant bei einer Entzündung, und kann die Bildung freier Radikale auslösen, die wiederum Fette oxidieren und so Ihre Blutgefäße schädigen können. Erhöhte Werte &gt;300 können somit kritisch sein. Ein Eisenmangel zeigt sich an Werten &lt;25.</w:t>
      </w:r>
    </w:p>
    <w:p w14:paraId="0E7A1C4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D9C6E77"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eastAsia="Times New Roman" w:hAnsi="Montserrat" w:cs="Arial"/>
          <w:color w:val="135666"/>
          <w:lang w:val="x-none" w:eastAsia="x-none"/>
        </w:rPr>
        <w:t xml:space="preserve">Zu tiefe </w:t>
      </w:r>
      <w:r w:rsidRPr="00B473AA">
        <w:rPr>
          <w:rFonts w:ascii="Montserrat" w:hAnsi="Montserrat" w:cs="Arial"/>
          <w:b/>
          <w:bCs/>
          <w:color w:val="135666"/>
          <w:lang w:val="x-none" w:eastAsia="x-none"/>
        </w:rPr>
        <w:t>CD57</w:t>
      </w:r>
      <w:r w:rsidRPr="00B473AA">
        <w:rPr>
          <w:rFonts w:ascii="Montserrat" w:hAnsi="Montserrat" w:cs="Arial"/>
          <w:color w:val="135666"/>
          <w:lang w:val="x-none" w:eastAsia="x-none"/>
        </w:rPr>
        <w:t xml:space="preserve"> Zellen (Normalwert &gt;100, Graubereich 60-100) sind ein Hinweis auf chronisch aktive Borreliose oder chronische Virusbelastungen.</w:t>
      </w:r>
    </w:p>
    <w:p w14:paraId="7546C9C8"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37B7F5EB"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Ein erh</w:t>
      </w:r>
      <w:r w:rsidRPr="00B473AA">
        <w:rPr>
          <w:rFonts w:ascii="Montserrat" w:eastAsia="Times New Roman" w:hAnsi="Montserrat" w:cs="Arial"/>
          <w:color w:val="135666"/>
          <w:lang w:val="x-none" w:eastAsia="x-none"/>
        </w:rPr>
        <w:t>öhter</w:t>
      </w:r>
      <w:r w:rsidRPr="00B473AA">
        <w:rPr>
          <w:rFonts w:ascii="Montserrat" w:hAnsi="Montserrat" w:cs="Arial"/>
          <w:b/>
          <w:bCs/>
          <w:color w:val="135666"/>
          <w:lang w:val="x-none" w:eastAsia="x-none"/>
        </w:rPr>
        <w:t xml:space="preserve"> EC</w:t>
      </w:r>
      <w:r w:rsidRPr="00BD2C83">
        <w:rPr>
          <w:rFonts w:ascii="Montserrat" w:hAnsi="Montserrat" w:cs="Arial"/>
          <w:b/>
          <w:bCs/>
          <w:color w:val="135666"/>
          <w:lang w:val="x-none" w:eastAsia="x-none"/>
        </w:rPr>
        <w:t>P</w:t>
      </w:r>
      <w:r w:rsidRPr="00B473AA">
        <w:rPr>
          <w:rFonts w:ascii="Montserrat" w:hAnsi="Montserrat" w:cs="Arial"/>
          <w:color w:val="135666"/>
          <w:lang w:val="x-none" w:eastAsia="x-none"/>
        </w:rPr>
        <w:t xml:space="preserve">-Wert ist ein Hinweis auf eine beginnende allergische Reaktion auf Lebensmittel (meist im Rahmen eines </w:t>
      </w:r>
      <w:proofErr w:type="spellStart"/>
      <w:r w:rsidRPr="00B473AA">
        <w:rPr>
          <w:rFonts w:ascii="Montserrat" w:hAnsi="Montserrat" w:cs="Arial"/>
          <w:color w:val="135666"/>
          <w:lang w:val="x-none" w:eastAsia="x-none"/>
        </w:rPr>
        <w:t>leaky</w:t>
      </w:r>
      <w:proofErr w:type="spellEnd"/>
      <w:r w:rsidRPr="00B473AA">
        <w:rPr>
          <w:rFonts w:ascii="Montserrat" w:hAnsi="Montserrat" w:cs="Arial"/>
          <w:color w:val="135666"/>
          <w:lang w:val="x-none" w:eastAsia="x-none"/>
        </w:rPr>
        <w:t>-gut-Syndroms). Zudem ist dieses Peptid neurotoxisch (nervengiftig) und steht nach Stand der Wissenschaft mit MCS/ALS/</w:t>
      </w:r>
      <w:proofErr w:type="spellStart"/>
      <w:r w:rsidRPr="00B473AA">
        <w:rPr>
          <w:rFonts w:ascii="Montserrat" w:hAnsi="Montserrat" w:cs="Arial"/>
          <w:color w:val="135666"/>
          <w:lang w:val="x-none" w:eastAsia="x-none"/>
        </w:rPr>
        <w:t>Motoneuronenerkrankung</w:t>
      </w:r>
      <w:proofErr w:type="spellEnd"/>
      <w:r w:rsidRPr="00B473AA">
        <w:rPr>
          <w:rFonts w:ascii="Montserrat" w:hAnsi="Montserrat" w:cs="Arial"/>
          <w:color w:val="135666"/>
          <w:lang w:val="x-none" w:eastAsia="x-none"/>
        </w:rPr>
        <w:t xml:space="preserve"> als Schl</w:t>
      </w:r>
      <w:r w:rsidRPr="00B473AA">
        <w:rPr>
          <w:rFonts w:ascii="Montserrat" w:eastAsia="Times New Roman" w:hAnsi="Montserrat" w:cs="Arial"/>
          <w:color w:val="135666"/>
          <w:lang w:val="x-none" w:eastAsia="x-none"/>
        </w:rPr>
        <w:t>üsselprotein in Verbindung. Unter Apherese kann ECP signifikant gesenkt werden. Somit ist die Notwendigkeit des Einsatzes der Apherese bei erhöhten ECP-Werten angezeigt.</w:t>
      </w:r>
    </w:p>
    <w:p w14:paraId="27620061"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5B55211"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 xml:space="preserve">Eosinophile </w:t>
      </w:r>
      <w:r w:rsidRPr="00B473AA">
        <w:rPr>
          <w:rFonts w:ascii="Montserrat" w:hAnsi="Montserrat" w:cs="Arial"/>
          <w:color w:val="135666"/>
          <w:lang w:val="x-none" w:eastAsia="x-none"/>
        </w:rPr>
        <w:t>sind wei</w:t>
      </w:r>
      <w:r w:rsidRPr="00B473AA">
        <w:rPr>
          <w:rFonts w:ascii="Montserrat" w:eastAsia="Times New Roman" w:hAnsi="Montserrat" w:cs="Arial"/>
          <w:color w:val="135666"/>
          <w:lang w:val="x-none" w:eastAsia="x-none"/>
        </w:rPr>
        <w:t>ße Blutkörperchen, die bei Allergien erhöht sein können. Sind diese erhöht gilt es, die Ursachen der allergischen Reaktionen zu finden und zu beseitigen. Gleiches gilt für IgE.</w:t>
      </w:r>
    </w:p>
    <w:p w14:paraId="481A454B"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04F38CD6"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MDA-LDL</w:t>
      </w:r>
      <w:r w:rsidRPr="00B473AA">
        <w:rPr>
          <w:rFonts w:ascii="Montserrat" w:hAnsi="Montserrat" w:cs="Arial"/>
          <w:color w:val="135666"/>
          <w:lang w:val="x-none" w:eastAsia="x-none"/>
        </w:rPr>
        <w:t xml:space="preserve"> bzw. </w:t>
      </w:r>
      <w:r w:rsidRPr="00B473AA">
        <w:rPr>
          <w:rFonts w:ascii="Montserrat" w:hAnsi="Montserrat" w:cs="Arial"/>
          <w:b/>
          <w:bCs/>
          <w:color w:val="135666"/>
          <w:lang w:val="x-none" w:eastAsia="x-none"/>
        </w:rPr>
        <w:t>oxidiertes LDL</w:t>
      </w:r>
      <w:r w:rsidRPr="00B473AA">
        <w:rPr>
          <w:rFonts w:ascii="Montserrat" w:hAnsi="Montserrat" w:cs="Arial"/>
          <w:color w:val="135666"/>
          <w:lang w:val="x-none" w:eastAsia="x-none"/>
        </w:rPr>
        <w:t>: erh</w:t>
      </w:r>
      <w:r w:rsidRPr="00B473AA">
        <w:rPr>
          <w:rFonts w:ascii="Montserrat" w:eastAsia="Times New Roman" w:hAnsi="Montserrat" w:cs="Arial"/>
          <w:color w:val="135666"/>
          <w:lang w:val="x-none" w:eastAsia="x-none"/>
        </w:rPr>
        <w:t>öhte Werte zeigen, dass z.B. durch freie Sauerstoff-Radikale Fette oxidiert werden. Hierdurch werden sie unbrauchbar, und oftmals in die Blutgefäße eingelagert (Schaumzellen). Dies ist der Beginn der Gefäßverkalkungen.</w:t>
      </w:r>
      <w:r w:rsidRPr="00B473AA">
        <w:rPr>
          <w:rFonts w:ascii="Montserrat" w:eastAsia="Times New Roman" w:hAnsi="Montserrat" w:cs="Arial"/>
          <w:color w:val="135666"/>
          <w:lang w:val="x-none" w:eastAsia="x-none"/>
        </w:rPr>
        <w:tab/>
      </w:r>
      <w:r w:rsidRPr="00B473AA">
        <w:rPr>
          <w:rFonts w:ascii="Montserrat" w:eastAsia="Times New Roman" w:hAnsi="Montserrat" w:cs="Arial"/>
          <w:color w:val="135666"/>
          <w:lang w:val="x-none" w:eastAsia="x-none"/>
        </w:rPr>
        <w:tab/>
      </w:r>
      <w:r w:rsidRPr="00B473AA">
        <w:rPr>
          <w:rFonts w:ascii="Montserrat" w:eastAsia="Times New Roman" w:hAnsi="Montserrat" w:cs="Arial"/>
          <w:color w:val="135666"/>
          <w:lang w:val="x-none" w:eastAsia="x-none"/>
        </w:rPr>
        <w:tab/>
      </w:r>
      <w:r w:rsidRPr="00B473AA">
        <w:rPr>
          <w:rFonts w:ascii="Montserrat" w:eastAsia="Times New Roman" w:hAnsi="Montserrat" w:cs="Arial"/>
          <w:color w:val="135666"/>
          <w:lang w:val="x-none" w:eastAsia="x-none"/>
        </w:rPr>
        <w:tab/>
      </w:r>
    </w:p>
    <w:p w14:paraId="0E6EAF28"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Nitrotyrosin</w:t>
      </w:r>
      <w:r w:rsidRPr="00B473AA">
        <w:rPr>
          <w:rFonts w:ascii="Montserrat" w:hAnsi="Montserrat" w:cs="Arial"/>
          <w:color w:val="135666"/>
          <w:lang w:val="x-none" w:eastAsia="x-none"/>
        </w:rPr>
        <w:t>: erh</w:t>
      </w:r>
      <w:r w:rsidRPr="00B473AA">
        <w:rPr>
          <w:rFonts w:ascii="Montserrat" w:eastAsia="Times New Roman" w:hAnsi="Montserrat" w:cs="Arial"/>
          <w:color w:val="135666"/>
          <w:lang w:val="x-none" w:eastAsia="x-none"/>
        </w:rPr>
        <w:t xml:space="preserve">öhte Werte zeigen einen </w:t>
      </w:r>
      <w:proofErr w:type="spellStart"/>
      <w:r w:rsidRPr="00B473AA">
        <w:rPr>
          <w:rFonts w:ascii="Montserrat" w:eastAsia="Times New Roman" w:hAnsi="Montserrat" w:cs="Arial"/>
          <w:color w:val="135666"/>
          <w:lang w:val="x-none" w:eastAsia="x-none"/>
        </w:rPr>
        <w:t>nitrosativen</w:t>
      </w:r>
      <w:proofErr w:type="spellEnd"/>
      <w:r w:rsidRPr="00B473AA">
        <w:rPr>
          <w:rFonts w:ascii="Montserrat" w:eastAsia="Times New Roman" w:hAnsi="Montserrat" w:cs="Arial"/>
          <w:color w:val="135666"/>
          <w:lang w:val="x-none" w:eastAsia="x-none"/>
        </w:rPr>
        <w:t xml:space="preserve"> Stress an, also eine erhöhte Belastungen mit freien Radikalen auf Stickstoffbasis. </w:t>
      </w:r>
      <w:r w:rsidRPr="00B473AA">
        <w:rPr>
          <w:rFonts w:ascii="Montserrat" w:eastAsia="Times New Roman" w:hAnsi="Montserrat" w:cs="Arial"/>
          <w:color w:val="135666"/>
          <w:lang w:val="x-none" w:eastAsia="x-none"/>
        </w:rPr>
        <w:tab/>
      </w:r>
      <w:r w:rsidRPr="00B473AA">
        <w:rPr>
          <w:rFonts w:ascii="Montserrat" w:eastAsia="Times New Roman" w:hAnsi="Montserrat" w:cs="Arial"/>
          <w:color w:val="135666"/>
          <w:lang w:val="x-none" w:eastAsia="x-none"/>
        </w:rPr>
        <w:tab/>
      </w:r>
      <w:r w:rsidRPr="00B473AA">
        <w:rPr>
          <w:rFonts w:ascii="Montserrat" w:eastAsia="Times New Roman" w:hAnsi="Montserrat" w:cs="Arial"/>
          <w:color w:val="135666"/>
          <w:lang w:val="x-none" w:eastAsia="x-none"/>
        </w:rPr>
        <w:tab/>
      </w:r>
    </w:p>
    <w:p w14:paraId="47425AF6"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57A86981"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Ein erhöhter </w:t>
      </w:r>
      <w:proofErr w:type="spellStart"/>
      <w:r w:rsidRPr="00B473AA">
        <w:rPr>
          <w:rFonts w:ascii="Montserrat" w:hAnsi="Montserrat" w:cs="Arial"/>
          <w:b/>
          <w:bCs/>
          <w:color w:val="135666"/>
          <w:lang w:val="x-none" w:eastAsia="x-none"/>
        </w:rPr>
        <w:t>TNFalpha</w:t>
      </w:r>
      <w:proofErr w:type="spellEnd"/>
      <w:r w:rsidRPr="00B473AA">
        <w:rPr>
          <w:rFonts w:ascii="Montserrat" w:hAnsi="Montserrat" w:cs="Arial"/>
          <w:b/>
          <w:bCs/>
          <w:color w:val="135666"/>
          <w:lang w:val="x-none" w:eastAsia="x-none"/>
        </w:rPr>
        <w:t>-Wert</w:t>
      </w:r>
      <w:r w:rsidRPr="00B473AA">
        <w:rPr>
          <w:rFonts w:ascii="Montserrat" w:hAnsi="Montserrat" w:cs="Arial"/>
          <w:color w:val="135666"/>
          <w:lang w:val="x-none" w:eastAsia="x-none"/>
        </w:rPr>
        <w:t xml:space="preserve"> zeigt eine systemische, anhaltende Entz</w:t>
      </w:r>
      <w:r w:rsidRPr="00B473AA">
        <w:rPr>
          <w:rFonts w:ascii="Montserrat" w:eastAsia="Times New Roman" w:hAnsi="Montserrat" w:cs="Arial"/>
          <w:color w:val="135666"/>
          <w:lang w:val="x-none" w:eastAsia="x-none"/>
        </w:rPr>
        <w:t>ündung. Hier sollten die Ursachen gefunden und beseitigt werden. Es empfiehlt sich bei erhöhten Werten auch, den genetischen Entzündungsgrad sowie ggf. einen TNF-a-Hemmtest durchzuführen. Siehe hierzu weiter unten mehr.</w:t>
      </w:r>
    </w:p>
    <w:p w14:paraId="72E46768"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3F5FF00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Erhöhte </w:t>
      </w:r>
      <w:r w:rsidRPr="00B473AA">
        <w:rPr>
          <w:rFonts w:ascii="Montserrat" w:hAnsi="Montserrat" w:cs="Arial"/>
          <w:b/>
          <w:bCs/>
          <w:color w:val="135666"/>
          <w:lang w:val="x-none" w:eastAsia="x-none"/>
        </w:rPr>
        <w:t xml:space="preserve">RANTES-Werte </w:t>
      </w:r>
      <w:r w:rsidRPr="00B473AA">
        <w:rPr>
          <w:rFonts w:ascii="Montserrat" w:hAnsi="Montserrat" w:cs="Arial"/>
          <w:color w:val="135666"/>
          <w:lang w:val="x-none" w:eastAsia="x-none"/>
        </w:rPr>
        <w:t>sind ein Hinweis auf eine Entz</w:t>
      </w:r>
      <w:r w:rsidRPr="00B473AA">
        <w:rPr>
          <w:rFonts w:ascii="Montserrat" w:eastAsia="Times New Roman" w:hAnsi="Montserrat" w:cs="Arial"/>
          <w:color w:val="135666"/>
          <w:lang w:val="x-none" w:eastAsia="x-none"/>
        </w:rPr>
        <w:t>ündung im Kieferknochen oder im Bereich des Zahnfleisches und sollten daher hinsichtlich der Ursache von Ihrem Zahnarzt kontrolliert werden.</w:t>
      </w:r>
    </w:p>
    <w:p w14:paraId="5E88F285"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6CCC350"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Erniedrigte </w:t>
      </w:r>
      <w:r w:rsidRPr="00B473AA">
        <w:rPr>
          <w:rFonts w:ascii="Montserrat" w:hAnsi="Montserrat" w:cs="Arial"/>
          <w:b/>
          <w:bCs/>
          <w:color w:val="135666"/>
          <w:lang w:val="x-none" w:eastAsia="x-none"/>
        </w:rPr>
        <w:t>ATP</w:t>
      </w:r>
      <w:r w:rsidRPr="00B473AA">
        <w:rPr>
          <w:rFonts w:ascii="Montserrat" w:hAnsi="Montserrat" w:cs="Arial"/>
          <w:color w:val="135666"/>
          <w:lang w:val="x-none" w:eastAsia="x-none"/>
        </w:rPr>
        <w:t>-Werte zeigen an, dass die Energiebildung gest</w:t>
      </w:r>
      <w:r w:rsidRPr="00B473AA">
        <w:rPr>
          <w:rFonts w:ascii="Montserrat" w:eastAsia="Times New Roman" w:hAnsi="Montserrat" w:cs="Arial"/>
          <w:color w:val="135666"/>
          <w:lang w:val="x-none" w:eastAsia="x-none"/>
        </w:rPr>
        <w:t>ört ist. Dies geschieht meistens durch Toxine, Schadmetalle, Erreger (v.a. Viren) und Mangelerscheinungen.</w:t>
      </w:r>
    </w:p>
    <w:p w14:paraId="386DBC97"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64E8AF3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D97B4D0" w14:textId="77777777" w:rsidR="00325355" w:rsidRPr="00B473AA" w:rsidRDefault="00325355" w:rsidP="00325355">
      <w:pPr>
        <w:widowControl w:val="0"/>
        <w:autoSpaceDE w:val="0"/>
        <w:autoSpaceDN w:val="0"/>
        <w:adjustRightInd w:val="0"/>
        <w:spacing w:after="0" w:line="264" w:lineRule="auto"/>
        <w:rPr>
          <w:rFonts w:ascii="Montserrat" w:hAnsi="Montserrat" w:cs="Arial"/>
          <w:b/>
          <w:bCs/>
          <w:color w:val="135666"/>
          <w:u w:val="single"/>
          <w:lang w:val="x-none" w:eastAsia="x-none"/>
        </w:rPr>
      </w:pPr>
      <w:proofErr w:type="spellStart"/>
      <w:r w:rsidRPr="00B473AA">
        <w:rPr>
          <w:rFonts w:ascii="Montserrat" w:hAnsi="Montserrat" w:cs="Arial"/>
          <w:b/>
          <w:bCs/>
          <w:color w:val="135666"/>
          <w:u w:val="single"/>
          <w:lang w:val="x-none" w:eastAsia="x-none"/>
        </w:rPr>
        <w:t>Circulierende</w:t>
      </w:r>
      <w:proofErr w:type="spellEnd"/>
      <w:r w:rsidRPr="00B473AA">
        <w:rPr>
          <w:rFonts w:ascii="Montserrat" w:hAnsi="Montserrat" w:cs="Arial"/>
          <w:b/>
          <w:bCs/>
          <w:color w:val="135666"/>
          <w:u w:val="single"/>
          <w:lang w:val="x-none" w:eastAsia="x-none"/>
        </w:rPr>
        <w:t xml:space="preserve"> Immunkomplexe (CICs):</w:t>
      </w:r>
    </w:p>
    <w:p w14:paraId="500080DA"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3E5C1D9C"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Liegt im Eluat der Nachweis von erh</w:t>
      </w:r>
      <w:r w:rsidRPr="00B473AA">
        <w:rPr>
          <w:rFonts w:ascii="Montserrat" w:eastAsia="Times New Roman" w:hAnsi="Montserrat" w:cs="Arial"/>
          <w:color w:val="135666"/>
          <w:lang w:val="x-none" w:eastAsia="x-none"/>
        </w:rPr>
        <w:t xml:space="preserve">öhtem </w:t>
      </w:r>
      <w:proofErr w:type="spellStart"/>
      <w:r w:rsidRPr="00B473AA">
        <w:rPr>
          <w:rFonts w:ascii="Montserrat" w:eastAsia="Times New Roman" w:hAnsi="Montserrat" w:cs="Arial"/>
          <w:color w:val="135666"/>
          <w:lang w:val="x-none" w:eastAsia="x-none"/>
        </w:rPr>
        <w:t>IgG</w:t>
      </w:r>
      <w:proofErr w:type="spellEnd"/>
      <w:r w:rsidRPr="00B473AA">
        <w:rPr>
          <w:rFonts w:ascii="Montserrat" w:eastAsia="Times New Roman" w:hAnsi="Montserrat" w:cs="Arial"/>
          <w:color w:val="135666"/>
          <w:lang w:val="x-none" w:eastAsia="x-none"/>
        </w:rPr>
        <w:t xml:space="preserve">, IgM, </w:t>
      </w:r>
      <w:proofErr w:type="spellStart"/>
      <w:r w:rsidRPr="00B473AA">
        <w:rPr>
          <w:rFonts w:ascii="Montserrat" w:eastAsia="Times New Roman" w:hAnsi="Montserrat" w:cs="Arial"/>
          <w:color w:val="135666"/>
          <w:lang w:val="x-none" w:eastAsia="x-none"/>
        </w:rPr>
        <w:t>IgA</w:t>
      </w:r>
      <w:proofErr w:type="spellEnd"/>
      <w:r w:rsidRPr="00B473AA">
        <w:rPr>
          <w:rFonts w:ascii="Montserrat" w:eastAsia="Times New Roman" w:hAnsi="Montserrat" w:cs="Arial"/>
          <w:color w:val="135666"/>
          <w:lang w:val="x-none" w:eastAsia="x-none"/>
        </w:rPr>
        <w:t>, C3  und / oder C1q vor ist dies immer ein Hinweis, dass systemische, also den ganzen Körper betreffende Entzündungen ablaufen.</w:t>
      </w:r>
    </w:p>
    <w:p w14:paraId="6EE8D185"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ab/>
      </w:r>
    </w:p>
    <w:p w14:paraId="74BAD213"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Kommentar CICs:</w:t>
      </w:r>
    </w:p>
    <w:p w14:paraId="3E1A1F5C" w14:textId="77777777" w:rsidR="00325355" w:rsidRPr="00B473AA" w:rsidRDefault="00325355" w:rsidP="00325355">
      <w:pPr>
        <w:widowControl w:val="0"/>
        <w:autoSpaceDE w:val="0"/>
        <w:autoSpaceDN w:val="0"/>
        <w:adjustRightInd w:val="0"/>
        <w:spacing w:after="0" w:line="264" w:lineRule="auto"/>
        <w:rPr>
          <w:rFonts w:ascii="Montserrat" w:hAnsi="Montserrat" w:cs="Arial"/>
          <w:b/>
          <w:bCs/>
          <w:color w:val="135666"/>
          <w:lang w:val="x-none" w:eastAsia="x-none"/>
        </w:rPr>
      </w:pPr>
      <w:r w:rsidRPr="00B473AA">
        <w:rPr>
          <w:rFonts w:ascii="Montserrat" w:hAnsi="Montserrat" w:cs="Arial"/>
          <w:b/>
          <w:bCs/>
          <w:color w:val="135666"/>
          <w:lang w:val="x-none" w:eastAsia="x-none"/>
        </w:rPr>
        <w:t>Entstehung und Bedeutung:</w:t>
      </w:r>
    </w:p>
    <w:p w14:paraId="0B31DB06" w14:textId="77777777" w:rsidR="00325355"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lastRenderedPageBreak/>
        <w:t>Dringen Fremdstoffe oder Erreger (man bezeichnet sie als Antigene) in den K</w:t>
      </w:r>
      <w:r w:rsidRPr="00B473AA">
        <w:rPr>
          <w:rFonts w:ascii="Montserrat" w:eastAsia="Times New Roman" w:hAnsi="Montserrat" w:cs="Arial"/>
          <w:color w:val="135666"/>
          <w:lang w:val="x-none" w:eastAsia="x-none"/>
        </w:rPr>
        <w:t xml:space="preserve">örper ein, so lösen sie eine Abwehrreaktion des Immunsystems aus. Dieses bildet </w:t>
      </w:r>
      <w:proofErr w:type="spellStart"/>
      <w:r w:rsidRPr="00B473AA">
        <w:rPr>
          <w:rFonts w:ascii="Montserrat" w:eastAsia="Times New Roman" w:hAnsi="Montserrat" w:cs="Arial"/>
          <w:color w:val="135666"/>
          <w:lang w:val="x-none" w:eastAsia="x-none"/>
        </w:rPr>
        <w:t>Abwehrkörperchen</w:t>
      </w:r>
      <w:proofErr w:type="spellEnd"/>
      <w:r w:rsidRPr="00B473AA">
        <w:rPr>
          <w:rFonts w:ascii="Montserrat" w:eastAsia="Times New Roman" w:hAnsi="Montserrat" w:cs="Arial"/>
          <w:color w:val="135666"/>
          <w:lang w:val="x-none" w:eastAsia="x-none"/>
        </w:rPr>
        <w:t xml:space="preserve"> (sogenannte Antikörper), die die Antigene binden und unschädlich machen. Die dadurch entstehenden Antigen-Antikörper-Komplexe (auch Immunkomplexe oder CICs genannt) werden normalerweise sofort nach ihrer Entstehung von Fresszellen (sogenannten Phagozyten oder Makrophagen) aufgenommen (phagozytiert), also wieder abgebaut (dies nennt man </w:t>
      </w:r>
      <w:proofErr w:type="spellStart"/>
      <w:r w:rsidRPr="00B473AA">
        <w:rPr>
          <w:rFonts w:ascii="Montserrat" w:eastAsia="Times New Roman" w:hAnsi="Montserrat" w:cs="Arial"/>
          <w:color w:val="135666"/>
          <w:lang w:val="x-none" w:eastAsia="x-none"/>
        </w:rPr>
        <w:t>Immunclearance</w:t>
      </w:r>
      <w:proofErr w:type="spellEnd"/>
      <w:r w:rsidRPr="00B473AA">
        <w:rPr>
          <w:rFonts w:ascii="Montserrat" w:eastAsia="Times New Roman" w:hAnsi="Montserrat" w:cs="Arial"/>
          <w:color w:val="135666"/>
          <w:lang w:val="x-none" w:eastAsia="x-none"/>
        </w:rPr>
        <w:t xml:space="preserve">). </w:t>
      </w:r>
    </w:p>
    <w:p w14:paraId="5A8128EB" w14:textId="77777777" w:rsidR="00BD2C83" w:rsidRPr="00B473AA" w:rsidRDefault="00BD2C83"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12AC3D6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Bei einer CHRONISCHEN Stimulation des Immunsystems durch Fremdstoffe/Infektionserreger (weil der Körper sie nicht abwehren kann), werden solche Immunkomplexe ständig gebildet und nicht regelrecht abgebaut. Denn die gebildete Menge übersteigt die Aufnahmefähigkeit der Fresszellen. </w:t>
      </w:r>
    </w:p>
    <w:p w14:paraId="74BCC2E0" w14:textId="73DB878B" w:rsidR="00325355"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Nun zirkulieren größere Mengen dieser Immunkomplexe unentwegt im Blutkreis und den Geweben. Daher werden sie auch als zirkulierende Immunkomplexe bezeichnet. Man kann sie sich vorstellen wie eine Truppe randalierender Jugendlicher mit Baseballschlägern in der Hand. Sie klopfen mal hier, mal dort dagegen und verursachen Schäden.</w:t>
      </w:r>
    </w:p>
    <w:p w14:paraId="619C8BCB" w14:textId="77777777" w:rsidR="00BD2C83" w:rsidRPr="00B473AA" w:rsidRDefault="00BD2C83"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088D147F"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Sie können sich an Membranen, im Interstitium (Zwischenzellräume; Bindegewebe), an Gefäßwänden oder Organen ablagern, und dort das Komplementsystem (ein Abwehrsystem) aktivieren. Dies führt zur Störung des Membranstoffwechsels (an den Nieren z.B. zum nephrotischen Syndrom) und zur Auslösung einer Entzündungskaskade (eine Reihe nacheinander ablaufender Entzündungsreaktionen). Auf diese Weise können vielfältige, schwerwiegende, unkontrollierte Schäden an Blutgefäßen, Organen und sonstigen Geweben verursacht werden wie zum Beispiel Gefäßentzündungen (Vaskulitiden) oder Nierenentzündungen (Glomerulonephritiden, nephrotisches Syndrom bei Immunkomplex-Nephritis), Morbus Goodpasture (</w:t>
      </w:r>
      <w:proofErr w:type="spellStart"/>
      <w:r w:rsidRPr="00B473AA">
        <w:rPr>
          <w:rFonts w:ascii="Montserrat" w:eastAsia="Times New Roman" w:hAnsi="Montserrat" w:cs="Arial"/>
          <w:color w:val="135666"/>
          <w:lang w:val="x-none" w:eastAsia="x-none"/>
        </w:rPr>
        <w:t>pulmorenales</w:t>
      </w:r>
      <w:proofErr w:type="spellEnd"/>
      <w:r w:rsidRPr="00B473AA">
        <w:rPr>
          <w:rFonts w:ascii="Montserrat" w:eastAsia="Times New Roman" w:hAnsi="Montserrat" w:cs="Arial"/>
          <w:color w:val="135666"/>
          <w:lang w:val="x-none" w:eastAsia="x-none"/>
        </w:rPr>
        <w:t xml:space="preserve"> Syndrom Typ I), Morbus Wegener (</w:t>
      </w:r>
      <w:proofErr w:type="spellStart"/>
      <w:r w:rsidRPr="00B473AA">
        <w:rPr>
          <w:rFonts w:ascii="Montserrat" w:eastAsia="Times New Roman" w:hAnsi="Montserrat" w:cs="Arial"/>
          <w:color w:val="135666"/>
          <w:lang w:val="x-none" w:eastAsia="x-none"/>
        </w:rPr>
        <w:t>pulmorenales</w:t>
      </w:r>
      <w:proofErr w:type="spellEnd"/>
      <w:r w:rsidRPr="00B473AA">
        <w:rPr>
          <w:rFonts w:ascii="Montserrat" w:eastAsia="Times New Roman" w:hAnsi="Montserrat" w:cs="Arial"/>
          <w:color w:val="135666"/>
          <w:lang w:val="x-none" w:eastAsia="x-none"/>
        </w:rPr>
        <w:t xml:space="preserve"> Syndrom II), akutes und chronisches Guillain-Barré-Syndrom, Lupus erythematodes und viele mehr (siehe weiter unten). </w:t>
      </w:r>
    </w:p>
    <w:p w14:paraId="27580F33" w14:textId="77777777" w:rsidR="00325355"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Auch das Gerinnungssystem wird beeinflusst, was zu einer verstärkten Verklumpung von Blutplättchen und roten Blutkörperchen (Thrombozyten- u. </w:t>
      </w:r>
      <w:proofErr w:type="spellStart"/>
      <w:r w:rsidRPr="00B473AA">
        <w:rPr>
          <w:rFonts w:ascii="Montserrat" w:eastAsia="Times New Roman" w:hAnsi="Montserrat" w:cs="Arial"/>
          <w:color w:val="135666"/>
          <w:lang w:val="x-none" w:eastAsia="x-none"/>
        </w:rPr>
        <w:t>Erythrozytenaggregation</w:t>
      </w:r>
      <w:proofErr w:type="spellEnd"/>
      <w:r w:rsidRPr="00B473AA">
        <w:rPr>
          <w:rFonts w:ascii="Montserrat" w:eastAsia="Times New Roman" w:hAnsi="Montserrat" w:cs="Arial"/>
          <w:color w:val="135666"/>
          <w:lang w:val="x-none" w:eastAsia="x-none"/>
        </w:rPr>
        <w:t>) führen kann.</w:t>
      </w:r>
    </w:p>
    <w:p w14:paraId="553C36A6" w14:textId="77777777" w:rsidR="00BD2C83" w:rsidRPr="00B473AA" w:rsidRDefault="00BD2C83"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84BE0CE"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Besonders anfällig für Ablagerungen in den kleinsten Blutgefäßen (Mikrogefäßen, Kapillaren) sind Nieren, Lunge, Herz, Gelenke und Haut.</w:t>
      </w:r>
    </w:p>
    <w:p w14:paraId="11FC3168" w14:textId="77777777" w:rsidR="00325355"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Wird das Komplementsystem aktiviert, können Spaltprodukte wie C3d bei Patienten mit </w:t>
      </w:r>
      <w:proofErr w:type="spellStart"/>
      <w:r w:rsidRPr="00B473AA">
        <w:rPr>
          <w:rFonts w:ascii="Montserrat" w:eastAsia="Times New Roman" w:hAnsi="Montserrat" w:cs="Arial"/>
          <w:color w:val="135666"/>
          <w:lang w:val="x-none" w:eastAsia="x-none"/>
        </w:rPr>
        <w:t>Lupusnephritis</w:t>
      </w:r>
      <w:proofErr w:type="spellEnd"/>
      <w:r w:rsidRPr="00B473AA">
        <w:rPr>
          <w:rFonts w:ascii="Montserrat" w:eastAsia="Times New Roman" w:hAnsi="Montserrat" w:cs="Arial"/>
          <w:color w:val="135666"/>
          <w:lang w:val="x-none" w:eastAsia="x-none"/>
        </w:rPr>
        <w:t xml:space="preserve"> oder bei Patienten mit kutaner systemischer Sklerodermie nachgewiesen werden.</w:t>
      </w:r>
    </w:p>
    <w:p w14:paraId="3E6FD39E" w14:textId="77777777" w:rsidR="00BD2C83" w:rsidRPr="00B473AA" w:rsidRDefault="00BD2C83"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13000BEC"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Patienten mit systemischen Autoimmunerkrankungen könnten auch Antikörper gegen Komponenten der Komplementkaskaden entwickeln. Nicht selten trifft es dabei die wichtige Komponente C1q. „Anti-C1q“-Autoantikörper sind indikativ für </w:t>
      </w:r>
      <w:proofErr w:type="spellStart"/>
      <w:r w:rsidRPr="00B473AA">
        <w:rPr>
          <w:rFonts w:ascii="Montserrat" w:eastAsia="Times New Roman" w:hAnsi="Montserrat" w:cs="Arial"/>
          <w:color w:val="135666"/>
          <w:lang w:val="x-none" w:eastAsia="x-none"/>
        </w:rPr>
        <w:t>Lupusnephritis</w:t>
      </w:r>
      <w:proofErr w:type="spellEnd"/>
      <w:r w:rsidRPr="00B473AA">
        <w:rPr>
          <w:rFonts w:ascii="Montserrat" w:eastAsia="Times New Roman" w:hAnsi="Montserrat" w:cs="Arial"/>
          <w:color w:val="135666"/>
          <w:lang w:val="x-none" w:eastAsia="x-none"/>
        </w:rPr>
        <w:t>, können aber auch bei anderen Erkrankungen gefunden werden.</w:t>
      </w:r>
    </w:p>
    <w:p w14:paraId="03D60580"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Erkrankungen, bei denen Immunkomplexe im Blut oder Gewebe auftreten, bezeichnet man als Immunkomplexerkrankungen.</w:t>
      </w:r>
    </w:p>
    <w:p w14:paraId="449DABC8"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6FD3FEE8"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Es gibt verschiedene </w:t>
      </w:r>
      <w:r w:rsidRPr="00B473AA">
        <w:rPr>
          <w:rFonts w:ascii="Montserrat" w:hAnsi="Montserrat" w:cs="Arial"/>
          <w:b/>
          <w:bCs/>
          <w:color w:val="135666"/>
          <w:lang w:val="x-none" w:eastAsia="x-none"/>
        </w:rPr>
        <w:t>Typen von Immunkomplexen</w:t>
      </w:r>
      <w:r w:rsidRPr="00B473AA">
        <w:rPr>
          <w:rFonts w:ascii="Montserrat" w:hAnsi="Montserrat" w:cs="Arial"/>
          <w:color w:val="135666"/>
          <w:lang w:val="x-none" w:eastAsia="x-none"/>
        </w:rPr>
        <w:t>. Je nachdem, welche Antik</w:t>
      </w:r>
      <w:r w:rsidRPr="00B473AA">
        <w:rPr>
          <w:rFonts w:ascii="Montserrat" w:eastAsia="Times New Roman" w:hAnsi="Montserrat" w:cs="Arial"/>
          <w:color w:val="135666"/>
          <w:lang w:val="x-none" w:eastAsia="x-none"/>
        </w:rPr>
        <w:t>örper sowie Antigene darin enthalten sind, benennt man sie wie folgt:</w:t>
      </w:r>
    </w:p>
    <w:p w14:paraId="32E6EFA9" w14:textId="227AEC55" w:rsidR="00325355" w:rsidRPr="00BD2C83" w:rsidRDefault="00325355" w:rsidP="00BD2C83">
      <w:pPr>
        <w:pStyle w:val="Listenabsatz"/>
        <w:widowControl w:val="0"/>
        <w:numPr>
          <w:ilvl w:val="0"/>
          <w:numId w:val="2"/>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 xml:space="preserve">Immunkomplexe mit Antikörpern vom Typ </w:t>
      </w:r>
      <w:proofErr w:type="spellStart"/>
      <w:r w:rsidRPr="00BD2C83">
        <w:rPr>
          <w:rFonts w:ascii="Montserrat" w:eastAsia="Times New Roman" w:hAnsi="Montserrat" w:cs="Arial"/>
          <w:color w:val="135666"/>
          <w:lang w:val="x-none" w:eastAsia="x-none"/>
        </w:rPr>
        <w:t>IgG</w:t>
      </w:r>
      <w:proofErr w:type="spellEnd"/>
      <w:r w:rsidRPr="00BD2C83">
        <w:rPr>
          <w:rFonts w:ascii="Montserrat" w:eastAsia="Times New Roman" w:hAnsi="Montserrat" w:cs="Arial"/>
          <w:color w:val="135666"/>
          <w:lang w:val="x-none" w:eastAsia="x-none"/>
        </w:rPr>
        <w:t xml:space="preserve">, </w:t>
      </w:r>
      <w:proofErr w:type="spellStart"/>
      <w:r w:rsidRPr="00BD2C83">
        <w:rPr>
          <w:rFonts w:ascii="Montserrat" w:eastAsia="Times New Roman" w:hAnsi="Montserrat" w:cs="Arial"/>
          <w:color w:val="135666"/>
          <w:lang w:val="x-none" w:eastAsia="x-none"/>
        </w:rPr>
        <w:t>IgA</w:t>
      </w:r>
      <w:proofErr w:type="spellEnd"/>
      <w:r w:rsidRPr="00BD2C83">
        <w:rPr>
          <w:rFonts w:ascii="Montserrat" w:eastAsia="Times New Roman" w:hAnsi="Montserrat" w:cs="Arial"/>
          <w:color w:val="135666"/>
          <w:lang w:val="x-none" w:eastAsia="x-none"/>
        </w:rPr>
        <w:t>, IgM,</w:t>
      </w:r>
    </w:p>
    <w:p w14:paraId="6084F717" w14:textId="7FAC2CA2" w:rsidR="00325355" w:rsidRPr="00BD2C83" w:rsidRDefault="00325355" w:rsidP="00BD2C83">
      <w:pPr>
        <w:pStyle w:val="Listenabsatz"/>
        <w:widowControl w:val="0"/>
        <w:numPr>
          <w:ilvl w:val="0"/>
          <w:numId w:val="2"/>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Immunkomplexe mit Komplementfaktoren (C1q, C3c etc.).</w:t>
      </w:r>
    </w:p>
    <w:p w14:paraId="68081F3F"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1AA39153" w14:textId="77777777" w:rsidR="00325355"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eastAsia="Times New Roman" w:hAnsi="Montserrat" w:cs="Arial"/>
          <w:color w:val="135666"/>
          <w:lang w:val="x-none" w:eastAsia="x-none"/>
        </w:rPr>
        <w:t xml:space="preserve">Erhöhte Konzentrationen an zirkulierenden Immunkomplexen findet man bei folgenden </w:t>
      </w:r>
      <w:r w:rsidRPr="00B473AA">
        <w:rPr>
          <w:rFonts w:ascii="Montserrat" w:hAnsi="Montserrat" w:cs="Arial"/>
          <w:b/>
          <w:bCs/>
          <w:color w:val="135666"/>
          <w:lang w:val="x-none" w:eastAsia="x-none"/>
        </w:rPr>
        <w:t>Krankheiten</w:t>
      </w:r>
      <w:r w:rsidRPr="00B473AA">
        <w:rPr>
          <w:rFonts w:ascii="Montserrat" w:hAnsi="Montserrat" w:cs="Arial"/>
          <w:color w:val="135666"/>
          <w:lang w:val="x-none" w:eastAsia="x-none"/>
        </w:rPr>
        <w:t>:</w:t>
      </w:r>
    </w:p>
    <w:p w14:paraId="65ED17D7" w14:textId="77777777" w:rsidR="00BD2C83" w:rsidRPr="00B473AA" w:rsidRDefault="00BD2C83" w:rsidP="00325355">
      <w:pPr>
        <w:widowControl w:val="0"/>
        <w:autoSpaceDE w:val="0"/>
        <w:autoSpaceDN w:val="0"/>
        <w:adjustRightInd w:val="0"/>
        <w:spacing w:after="0" w:line="264" w:lineRule="auto"/>
        <w:rPr>
          <w:rFonts w:ascii="Montserrat" w:hAnsi="Montserrat" w:cs="Arial"/>
          <w:color w:val="135666"/>
          <w:lang w:val="x-none" w:eastAsia="x-none"/>
        </w:rPr>
      </w:pPr>
    </w:p>
    <w:p w14:paraId="100AE40A" w14:textId="64B15C13" w:rsidR="00325355" w:rsidRPr="00BD2C83" w:rsidRDefault="00325355" w:rsidP="00BD2C83">
      <w:pPr>
        <w:pStyle w:val="Listenabsatz"/>
        <w:widowControl w:val="0"/>
        <w:numPr>
          <w:ilvl w:val="0"/>
          <w:numId w:val="2"/>
        </w:numPr>
        <w:autoSpaceDE w:val="0"/>
        <w:autoSpaceDN w:val="0"/>
        <w:adjustRightInd w:val="0"/>
        <w:spacing w:after="0" w:line="264" w:lineRule="auto"/>
        <w:rPr>
          <w:rFonts w:ascii="Montserrat" w:hAnsi="Montserrat" w:cs="Arial"/>
          <w:color w:val="135666"/>
          <w:lang w:val="x-none" w:eastAsia="x-none"/>
        </w:rPr>
      </w:pPr>
      <w:r w:rsidRPr="00BD2C83">
        <w:rPr>
          <w:rFonts w:ascii="Montserrat" w:hAnsi="Montserrat" w:cs="Arial"/>
          <w:color w:val="135666"/>
          <w:lang w:val="x-none" w:eastAsia="x-none"/>
        </w:rPr>
        <w:t xml:space="preserve">Autoimmunerkrankungen (rheumatoide Arthritis, chronische Polyarthritis, </w:t>
      </w:r>
      <w:proofErr w:type="spellStart"/>
      <w:r w:rsidRPr="00BD2C83">
        <w:rPr>
          <w:rFonts w:ascii="Montserrat" w:hAnsi="Montserrat" w:cs="Arial"/>
          <w:color w:val="135666"/>
          <w:lang w:val="x-none" w:eastAsia="x-none"/>
        </w:rPr>
        <w:t>Polymyalgia</w:t>
      </w:r>
      <w:proofErr w:type="spellEnd"/>
      <w:r w:rsidRPr="00BD2C83">
        <w:rPr>
          <w:rFonts w:ascii="Montserrat" w:hAnsi="Montserrat" w:cs="Arial"/>
          <w:color w:val="135666"/>
          <w:lang w:val="x-none" w:eastAsia="x-none"/>
        </w:rPr>
        <w:t xml:space="preserve">  </w:t>
      </w:r>
    </w:p>
    <w:p w14:paraId="0CDB00AB" w14:textId="74EA3F02"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hAnsi="Montserrat" w:cs="Arial"/>
          <w:color w:val="135666"/>
          <w:lang w:val="x-none" w:eastAsia="x-none"/>
        </w:rPr>
        <w:t xml:space="preserve">rheumatica, Spondylitis, systemischer Lupus erythematodes </w:t>
      </w:r>
      <w:r w:rsidRPr="00BD2C83">
        <w:rPr>
          <w:rFonts w:ascii="Montserrat" w:eastAsia="Times New Roman" w:hAnsi="Montserrat" w:cs="Arial"/>
          <w:color w:val="135666"/>
          <w:lang w:val="x-none" w:eastAsia="x-none"/>
        </w:rPr>
        <w:t xml:space="preserve">„SLE“, </w:t>
      </w:r>
    </w:p>
    <w:p w14:paraId="48B559F7" w14:textId="4F266C11"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 xml:space="preserve">Sjögren-Syndrom/Sklerodermie, Vaskulitiden wie Panarteriitis nodosa/Glomerulonephritis, </w:t>
      </w:r>
    </w:p>
    <w:p w14:paraId="70493B42" w14:textId="241132A3"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M. Reiter, M. Bechterew, Felty Syndrom, M. Behçet, Churg-</w:t>
      </w:r>
      <w:proofErr w:type="spellStart"/>
      <w:r w:rsidRPr="00BD2C83">
        <w:rPr>
          <w:rFonts w:ascii="Montserrat" w:eastAsia="Times New Roman" w:hAnsi="Montserrat" w:cs="Arial"/>
          <w:color w:val="135666"/>
          <w:lang w:val="x-none" w:eastAsia="x-none"/>
        </w:rPr>
        <w:t>Strauss</w:t>
      </w:r>
      <w:proofErr w:type="spellEnd"/>
      <w:r w:rsidRPr="00BD2C83">
        <w:rPr>
          <w:rFonts w:ascii="Montserrat" w:eastAsia="Times New Roman" w:hAnsi="Montserrat" w:cs="Arial"/>
          <w:color w:val="135666"/>
          <w:lang w:val="x-none" w:eastAsia="x-none"/>
        </w:rPr>
        <w:t xml:space="preserve">-Syndrom, </w:t>
      </w:r>
    </w:p>
    <w:p w14:paraId="167906FA" w14:textId="46954817"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eastAsia="x-none"/>
        </w:rPr>
      </w:pPr>
      <w:r w:rsidRPr="00BD2C83">
        <w:rPr>
          <w:rFonts w:ascii="Montserrat" w:eastAsia="Times New Roman" w:hAnsi="Montserrat" w:cs="Arial"/>
          <w:color w:val="135666"/>
          <w:lang w:val="x-none" w:eastAsia="x-none"/>
        </w:rPr>
        <w:t>Hashimoto-Thyreoiditis und einigen mehr</w:t>
      </w:r>
      <w:r w:rsidR="007175E9" w:rsidRPr="00BD2C83">
        <w:rPr>
          <w:rFonts w:ascii="Montserrat" w:eastAsia="Times New Roman" w:hAnsi="Montserrat" w:cs="Arial"/>
          <w:color w:val="135666"/>
          <w:lang w:eastAsia="x-none"/>
        </w:rPr>
        <w:t>)</w:t>
      </w:r>
    </w:p>
    <w:p w14:paraId="3C0D5FB7" w14:textId="1E5003A6"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 xml:space="preserve">chronischen (stillen, schwelenden) Infektionen durch </w:t>
      </w:r>
    </w:p>
    <w:p w14:paraId="681DC07A" w14:textId="6029034B"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hAnsi="Montserrat" w:cs="Arial"/>
          <w:color w:val="135666"/>
          <w:lang w:val="x-none" w:eastAsia="x-none"/>
        </w:rPr>
      </w:pPr>
      <w:r w:rsidRPr="00BD2C83">
        <w:rPr>
          <w:rFonts w:ascii="Montserrat" w:hAnsi="Montserrat" w:cs="Arial"/>
          <w:color w:val="135666"/>
          <w:u w:val="single"/>
          <w:lang w:val="x-none" w:eastAsia="x-none"/>
        </w:rPr>
        <w:t>Viren</w:t>
      </w:r>
      <w:r w:rsidRPr="00BD2C83">
        <w:rPr>
          <w:rFonts w:ascii="Montserrat" w:hAnsi="Montserrat" w:cs="Arial"/>
          <w:color w:val="135666"/>
          <w:lang w:val="x-none" w:eastAsia="x-none"/>
        </w:rPr>
        <w:t xml:space="preserve">: z.B. bei akuter oder chronischer Infektion mit Hepatitis-B, </w:t>
      </w:r>
      <w:proofErr w:type="spellStart"/>
      <w:r w:rsidRPr="00BD2C83">
        <w:rPr>
          <w:rFonts w:ascii="Montserrat" w:hAnsi="Montserrat" w:cs="Arial"/>
          <w:color w:val="135666"/>
          <w:lang w:val="x-none" w:eastAsia="x-none"/>
        </w:rPr>
        <w:t>Cytomegalie</w:t>
      </w:r>
      <w:proofErr w:type="spellEnd"/>
      <w:r w:rsidRPr="00BD2C83">
        <w:rPr>
          <w:rFonts w:ascii="Montserrat" w:hAnsi="Montserrat" w:cs="Arial"/>
          <w:color w:val="135666"/>
          <w:lang w:val="x-none" w:eastAsia="x-none"/>
        </w:rPr>
        <w:t xml:space="preserve">-Viren, EBV </w:t>
      </w:r>
    </w:p>
    <w:p w14:paraId="586DEFB8" w14:textId="5CA145FC"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hAnsi="Montserrat" w:cs="Arial"/>
          <w:color w:val="135666"/>
          <w:lang w:val="x-none" w:eastAsia="x-none"/>
        </w:rPr>
      </w:pPr>
      <w:r w:rsidRPr="00BD2C83">
        <w:rPr>
          <w:rFonts w:ascii="Montserrat" w:hAnsi="Montserrat" w:cs="Arial"/>
          <w:color w:val="135666"/>
          <w:lang w:val="x-none" w:eastAsia="x-none"/>
        </w:rPr>
        <w:t xml:space="preserve">(Epstein-Barr-Viren), SSPE (subakut sklerosierende Panenzephalitis, Slow-Virus-Infektion </w:t>
      </w:r>
    </w:p>
    <w:p w14:paraId="0C925929" w14:textId="0B3E36B4"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hAnsi="Montserrat" w:cs="Arial"/>
          <w:color w:val="135666"/>
          <w:lang w:val="x-none" w:eastAsia="x-none"/>
        </w:rPr>
      </w:pPr>
      <w:r w:rsidRPr="00BD2C83">
        <w:rPr>
          <w:rFonts w:ascii="Montserrat" w:hAnsi="Montserrat" w:cs="Arial"/>
          <w:color w:val="135666"/>
          <w:lang w:val="x-none" w:eastAsia="x-none"/>
        </w:rPr>
        <w:t xml:space="preserve">durch das Masern-Virus), HIV-Viren (AIDS), </w:t>
      </w:r>
    </w:p>
    <w:p w14:paraId="65734246" w14:textId="25ED6997"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hAnsi="Montserrat" w:cs="Arial"/>
          <w:color w:val="135666"/>
          <w:u w:val="single"/>
          <w:lang w:val="x-none" w:eastAsia="x-none"/>
        </w:rPr>
        <w:t>Bakterien</w:t>
      </w:r>
      <w:r w:rsidRPr="00BD2C83">
        <w:rPr>
          <w:rFonts w:ascii="Montserrat" w:hAnsi="Montserrat" w:cs="Arial"/>
          <w:color w:val="135666"/>
          <w:lang w:val="x-none" w:eastAsia="x-none"/>
        </w:rPr>
        <w:t>: z.B. infekti</w:t>
      </w:r>
      <w:r w:rsidRPr="00BD2C83">
        <w:rPr>
          <w:rFonts w:ascii="Montserrat" w:eastAsia="Times New Roman" w:hAnsi="Montserrat" w:cs="Arial"/>
          <w:color w:val="135666"/>
          <w:lang w:val="x-none" w:eastAsia="x-none"/>
        </w:rPr>
        <w:t xml:space="preserve">öse Endokarditis, Meningokokken-Infektion, disseminierte Gonorrhoe,  </w:t>
      </w:r>
    </w:p>
    <w:p w14:paraId="11C2631B" w14:textId="739FB951"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 xml:space="preserve">Streptokokken-Infektion (z.B. durch chronische Mandelentzündungen), Lues-Infektion, </w:t>
      </w:r>
    </w:p>
    <w:p w14:paraId="6960B6F5" w14:textId="6D19D7D6"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hAnsi="Montserrat" w:cs="Arial"/>
          <w:color w:val="135666"/>
          <w:lang w:val="x-none" w:eastAsia="x-none"/>
        </w:rPr>
      </w:pPr>
      <w:r w:rsidRPr="00BD2C83">
        <w:rPr>
          <w:rFonts w:ascii="Montserrat" w:hAnsi="Montserrat" w:cs="Arial"/>
          <w:color w:val="135666"/>
          <w:u w:val="single"/>
          <w:lang w:val="x-none" w:eastAsia="x-none"/>
        </w:rPr>
        <w:t>Parasiten</w:t>
      </w:r>
      <w:r w:rsidRPr="00BD2C83">
        <w:rPr>
          <w:rFonts w:ascii="Montserrat" w:hAnsi="Montserrat" w:cs="Arial"/>
          <w:color w:val="135666"/>
          <w:lang w:val="x-none" w:eastAsia="x-none"/>
        </w:rPr>
        <w:t xml:space="preserve">: Malaria, </w:t>
      </w:r>
      <w:proofErr w:type="spellStart"/>
      <w:r w:rsidRPr="00BD2C83">
        <w:rPr>
          <w:rFonts w:ascii="Montserrat" w:hAnsi="Montserrat" w:cs="Arial"/>
          <w:color w:val="135666"/>
          <w:lang w:val="x-none" w:eastAsia="x-none"/>
        </w:rPr>
        <w:t>Schistosomen</w:t>
      </w:r>
      <w:proofErr w:type="spellEnd"/>
      <w:r w:rsidRPr="00BD2C83">
        <w:rPr>
          <w:rFonts w:ascii="Montserrat" w:hAnsi="Montserrat" w:cs="Arial"/>
          <w:color w:val="135666"/>
          <w:lang w:val="x-none" w:eastAsia="x-none"/>
        </w:rPr>
        <w:t xml:space="preserve">, Toxoplasmose, Trypanosomen, </w:t>
      </w:r>
    </w:p>
    <w:p w14:paraId="3E57BF07" w14:textId="1608F1AC"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hAnsi="Montserrat" w:cs="Arial"/>
          <w:color w:val="135666"/>
          <w:lang w:val="x-none" w:eastAsia="x-none"/>
        </w:rPr>
        <w:t>Nierenerkrankungen (Glomerulonephritis, Absto</w:t>
      </w:r>
      <w:r w:rsidRPr="00BD2C83">
        <w:rPr>
          <w:rFonts w:ascii="Montserrat" w:eastAsia="Times New Roman" w:hAnsi="Montserrat" w:cs="Arial"/>
          <w:color w:val="135666"/>
          <w:lang w:val="x-none" w:eastAsia="x-none"/>
        </w:rPr>
        <w:t>ßungsreaktionen nach Nierentransplantationen)</w:t>
      </w:r>
    </w:p>
    <w:p w14:paraId="47484A35" w14:textId="6B8DCF14"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bösartigen Erkrankungen wie Leukämie oder Lymphome</w:t>
      </w:r>
    </w:p>
    <w:p w14:paraId="3B53A4DA" w14:textId="5ED5F189"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 xml:space="preserve">entzündlichen Darmerkrankungen wie M. Crohn, Colitis ulcerosa </w:t>
      </w:r>
    </w:p>
    <w:p w14:paraId="12E8119F" w14:textId="6A3A88B7"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Lungenerkrankungen wie der idiopathischen interstitiellen Pneumonie, der Mukoviszidose</w:t>
      </w:r>
    </w:p>
    <w:p w14:paraId="6BF8ACBE" w14:textId="3D7D59FB"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Neurologischen Krankheiten wie MS (Multiple Sklerose) und anderen</w:t>
      </w:r>
    </w:p>
    <w:p w14:paraId="3E07E6C4" w14:textId="0D58BE0B"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Gerinnungskrankheiten wie die thrombotisch-</w:t>
      </w:r>
      <w:proofErr w:type="spellStart"/>
      <w:r w:rsidRPr="00BD2C83">
        <w:rPr>
          <w:rFonts w:ascii="Montserrat" w:eastAsia="Times New Roman" w:hAnsi="Montserrat" w:cs="Arial"/>
          <w:color w:val="135666"/>
          <w:lang w:val="x-none" w:eastAsia="x-none"/>
        </w:rPr>
        <w:t>thrombozytopenische</w:t>
      </w:r>
      <w:proofErr w:type="spellEnd"/>
      <w:r w:rsidRPr="00BD2C83">
        <w:rPr>
          <w:rFonts w:ascii="Montserrat" w:eastAsia="Times New Roman" w:hAnsi="Montserrat" w:cs="Arial"/>
          <w:color w:val="135666"/>
          <w:lang w:val="x-none" w:eastAsia="x-none"/>
        </w:rPr>
        <w:t xml:space="preserve"> Purpura</w:t>
      </w:r>
    </w:p>
    <w:p w14:paraId="502CBCDA" w14:textId="48F0DD1F" w:rsidR="00325355" w:rsidRPr="00BD2C83" w:rsidRDefault="00325355" w:rsidP="00BD2C83">
      <w:pPr>
        <w:pStyle w:val="Listenabsatz"/>
        <w:widowControl w:val="0"/>
        <w:numPr>
          <w:ilvl w:val="0"/>
          <w:numId w:val="3"/>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chronischen Lebererkrankungen (Hepatitis A, B, C, D, E …)</w:t>
      </w:r>
    </w:p>
    <w:p w14:paraId="5F55D441"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ABCB261"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Die </w:t>
      </w:r>
      <w:r w:rsidRPr="00B473AA">
        <w:rPr>
          <w:rFonts w:ascii="Montserrat" w:hAnsi="Montserrat" w:cs="Arial"/>
          <w:b/>
          <w:bCs/>
          <w:color w:val="135666"/>
          <w:lang w:val="x-none" w:eastAsia="x-none"/>
        </w:rPr>
        <w:t>Ursachen</w:t>
      </w:r>
      <w:r w:rsidRPr="00B473AA">
        <w:rPr>
          <w:rFonts w:ascii="Montserrat" w:hAnsi="Montserrat" w:cs="Arial"/>
          <w:color w:val="135666"/>
          <w:lang w:val="x-none" w:eastAsia="x-none"/>
        </w:rPr>
        <w:t xml:space="preserve"> der oben genannten Krankheiten sind vielf</w:t>
      </w:r>
      <w:r w:rsidRPr="00B473AA">
        <w:rPr>
          <w:rFonts w:ascii="Montserrat" w:eastAsia="Times New Roman" w:hAnsi="Montserrat" w:cs="Arial"/>
          <w:color w:val="135666"/>
          <w:lang w:val="x-none" w:eastAsia="x-none"/>
        </w:rPr>
        <w:t xml:space="preserve">ältig. Teilweise sind sie bekannt, teilweise nicht. Umwelteinflüsse spielen hierbei jedoch immer eine große Rolle. Gerade die toxischen Metalle wie Quecksilber, Blei, Cadmium, Aluminium, Arsen, Gadolinium, Zinn und andere, sind unserem Organismus fremd und kamen bis vor ca. 250 Jahren nicht in freier Form vor. Somit musste unser Organismus keine Entgiftungsstrategien gegen sie entwickeln. Heute nehmen wir derartige Stoffe schon im Mutterleib auf, später durch Impfungen, über die Luft, das Wasser und unsere Lebensmittel. </w:t>
      </w:r>
    </w:p>
    <w:p w14:paraId="34141B3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0265D180"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lastRenderedPageBreak/>
        <w:t>Wir verfügen eigentlich nur über ein Enzym, das auch Schadmetalle entgiften kann (die GST-M1). Dieses ist bei rund 50% der Menschen nicht vorhanden. Verbleiben diese giftigen Metalle im Körper, können sie unsere Enzyme blockieren, die Eiweiße schädigen, freie Radikale auslösen und somit Gewebe, Fette, Gene etc. angreifen, sie können an den falschen Stellen eingebaut werden (z.B. Blei dort, wo Calcium sein muss) und so weiter. Sie schwächen das Immunsystem (und damit die Abwehr von Erregern wie Viren, Bakterien etc.) und schädigen unsere lebenswichtige Darmflora. Dadurch kann die Darmschleimhaut Schaden nehmen mit der Folge, dass Gifte in den Blutkreis, zur Leber und zum Gehirn gelangen. All dies führt zu Abwehrreaktionen, die unkontrolliert und dauerhaft laufen können (und mit der Bildung zirkulierender Immunkomplexe einhergehen können).</w:t>
      </w:r>
    </w:p>
    <w:p w14:paraId="1722C2E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2B9C5351"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eastAsia="Times New Roman" w:hAnsi="Montserrat" w:cs="Arial"/>
          <w:color w:val="135666"/>
          <w:lang w:val="x-none" w:eastAsia="x-none"/>
        </w:rPr>
        <w:t xml:space="preserve">Der Nachweis zirkulierender Immunkomplexe im Eluat ist ein wichtiges Kriterium zur Einschätzung der Krankheitsaktivität und von Organmanifestationen – und ihre </w:t>
      </w:r>
      <w:r w:rsidRPr="00B473AA">
        <w:rPr>
          <w:rFonts w:ascii="Montserrat" w:hAnsi="Montserrat" w:cs="Arial"/>
          <w:b/>
          <w:bCs/>
          <w:color w:val="135666"/>
          <w:lang w:val="x-none" w:eastAsia="x-none"/>
        </w:rPr>
        <w:t>Elimination ist essentiell in der Behandlung der vorliegenden Erkrankung, sowohl akut als auch prospektiv</w:t>
      </w:r>
      <w:r w:rsidRPr="00B473AA">
        <w:rPr>
          <w:rFonts w:ascii="Montserrat" w:hAnsi="Montserrat" w:cs="Arial"/>
          <w:color w:val="135666"/>
          <w:lang w:val="x-none" w:eastAsia="x-none"/>
        </w:rPr>
        <w:t>.</w:t>
      </w:r>
    </w:p>
    <w:p w14:paraId="27351FC5"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3C109E23"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648F68D3"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Pestizidscreening:</w:t>
      </w:r>
    </w:p>
    <w:p w14:paraId="6CB544C3"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011BCC14"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Welche Giftstoffe bei Ihnen gefunden wurden k</w:t>
      </w:r>
      <w:r w:rsidRPr="00B473AA">
        <w:rPr>
          <w:rFonts w:ascii="Montserrat" w:eastAsia="Times New Roman" w:hAnsi="Montserrat" w:cs="Arial"/>
          <w:color w:val="135666"/>
          <w:lang w:val="x-none" w:eastAsia="x-none"/>
        </w:rPr>
        <w:t xml:space="preserve">önnen Sie den Befunden entnehmen. Nachstehend finden Sie einige Erläuterungen zu Giften und deren Wirkungen. </w:t>
      </w:r>
    </w:p>
    <w:p w14:paraId="2270C9A6"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5BF4A97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Ketone (Aceton, Methylethylketon): sind hoch neuro-</w:t>
      </w:r>
      <w:proofErr w:type="spellStart"/>
      <w:r w:rsidRPr="00B473AA">
        <w:rPr>
          <w:rFonts w:ascii="Montserrat" w:eastAsia="Times New Roman" w:hAnsi="Montserrat" w:cs="Arial"/>
          <w:color w:val="135666"/>
          <w:lang w:val="x-none" w:eastAsia="x-none"/>
        </w:rPr>
        <w:t>immuno</w:t>
      </w:r>
      <w:proofErr w:type="spellEnd"/>
      <w:r w:rsidRPr="00B473AA">
        <w:rPr>
          <w:rFonts w:ascii="Montserrat" w:eastAsia="Times New Roman" w:hAnsi="Montserrat" w:cs="Arial"/>
          <w:color w:val="135666"/>
          <w:lang w:val="x-none" w:eastAsia="x-none"/>
        </w:rPr>
        <w:t>-toxisch und sind an der Auslösung des sog. „</w:t>
      </w:r>
      <w:proofErr w:type="spellStart"/>
      <w:r w:rsidRPr="00B473AA">
        <w:rPr>
          <w:rFonts w:ascii="Montserrat" w:eastAsia="Times New Roman" w:hAnsi="Montserrat" w:cs="Arial"/>
          <w:color w:val="135666"/>
          <w:lang w:val="x-none" w:eastAsia="x-none"/>
        </w:rPr>
        <w:t>brainfog</w:t>
      </w:r>
      <w:proofErr w:type="spellEnd"/>
      <w:r w:rsidRPr="00B473AA">
        <w:rPr>
          <w:rFonts w:ascii="Montserrat" w:eastAsia="Times New Roman" w:hAnsi="Montserrat" w:cs="Arial"/>
          <w:color w:val="135666"/>
          <w:lang w:val="x-none" w:eastAsia="x-none"/>
        </w:rPr>
        <w:t xml:space="preserve">“ bei </w:t>
      </w:r>
      <w:proofErr w:type="spellStart"/>
      <w:r w:rsidRPr="00B473AA">
        <w:rPr>
          <w:rFonts w:ascii="Montserrat" w:eastAsia="Times New Roman" w:hAnsi="Montserrat" w:cs="Arial"/>
          <w:color w:val="135666"/>
          <w:lang w:val="x-none" w:eastAsia="x-none"/>
        </w:rPr>
        <w:t>Leaky</w:t>
      </w:r>
      <w:proofErr w:type="spellEnd"/>
      <w:r w:rsidRPr="00B473AA">
        <w:rPr>
          <w:rFonts w:ascii="Montserrat" w:eastAsia="Times New Roman" w:hAnsi="Montserrat" w:cs="Arial"/>
          <w:color w:val="135666"/>
          <w:lang w:val="x-none" w:eastAsia="x-none"/>
        </w:rPr>
        <w:t xml:space="preserve"> gut Syndrom beteiligt. Sie durchdringen sehr leicht die Blut-Hirn-Schranke und stören ihre Barrierefunktion. Sie sind für eine toxische Hepatopathie mitverantwortlich. Sie sind ein Abbauprodukt der Darmbakterien aus Fetten und Kohlenhydraten. Sie sind mitverantwortlich für die Auslösung des chronisch zentralen </w:t>
      </w:r>
      <w:proofErr w:type="spellStart"/>
      <w:r w:rsidRPr="00B473AA">
        <w:rPr>
          <w:rFonts w:ascii="Montserrat" w:eastAsia="Times New Roman" w:hAnsi="Montserrat" w:cs="Arial"/>
          <w:color w:val="135666"/>
          <w:lang w:val="x-none" w:eastAsia="x-none"/>
        </w:rPr>
        <w:t>Erschöpfungs</w:t>
      </w:r>
      <w:proofErr w:type="spellEnd"/>
      <w:r w:rsidRPr="00B473AA">
        <w:rPr>
          <w:rFonts w:ascii="Montserrat" w:eastAsia="Times New Roman" w:hAnsi="Montserrat" w:cs="Arial"/>
          <w:color w:val="135666"/>
          <w:lang w:val="x-none" w:eastAsia="x-none"/>
        </w:rPr>
        <w:t xml:space="preserve"> Syndroms (CFS) und psycho-neurologischer/dementieller, sowie systemisch-entzündlicher Krankheitsbilder.</w:t>
      </w:r>
    </w:p>
    <w:p w14:paraId="541710F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13F3A3B6"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Alkohole (Äthanol, Methanol, 1-Propanol, 2-Propanol): sind Abbauprodukte von Darmbakterien und Darmpilzen, sie sind ebenfalls neuro-</w:t>
      </w:r>
      <w:proofErr w:type="spellStart"/>
      <w:r w:rsidRPr="00B473AA">
        <w:rPr>
          <w:rFonts w:ascii="Montserrat" w:eastAsia="Times New Roman" w:hAnsi="Montserrat" w:cs="Arial"/>
          <w:color w:val="135666"/>
          <w:lang w:val="x-none" w:eastAsia="x-none"/>
        </w:rPr>
        <w:t>immunotoxisch</w:t>
      </w:r>
      <w:proofErr w:type="spellEnd"/>
      <w:r w:rsidRPr="00B473AA">
        <w:rPr>
          <w:rFonts w:ascii="Montserrat" w:eastAsia="Times New Roman" w:hAnsi="Montserrat" w:cs="Arial"/>
          <w:color w:val="135666"/>
          <w:lang w:val="x-none" w:eastAsia="x-none"/>
        </w:rPr>
        <w:t xml:space="preserve"> und durchdringen die Blut-Hirn-Schranke bei </w:t>
      </w:r>
      <w:proofErr w:type="spellStart"/>
      <w:r w:rsidRPr="00B473AA">
        <w:rPr>
          <w:rFonts w:ascii="Montserrat" w:eastAsia="Times New Roman" w:hAnsi="Montserrat" w:cs="Arial"/>
          <w:color w:val="135666"/>
          <w:lang w:val="x-none" w:eastAsia="x-none"/>
        </w:rPr>
        <w:t>leaky</w:t>
      </w:r>
      <w:proofErr w:type="spellEnd"/>
      <w:r w:rsidRPr="00B473AA">
        <w:rPr>
          <w:rFonts w:ascii="Montserrat" w:eastAsia="Times New Roman" w:hAnsi="Montserrat" w:cs="Arial"/>
          <w:color w:val="135666"/>
          <w:lang w:val="x-none" w:eastAsia="x-none"/>
        </w:rPr>
        <w:t xml:space="preserve"> gut Syndrom, und können neben dem „Brain </w:t>
      </w:r>
      <w:proofErr w:type="spellStart"/>
      <w:r w:rsidRPr="00B473AA">
        <w:rPr>
          <w:rFonts w:ascii="Montserrat" w:eastAsia="Times New Roman" w:hAnsi="Montserrat" w:cs="Arial"/>
          <w:color w:val="135666"/>
          <w:lang w:val="x-none" w:eastAsia="x-none"/>
        </w:rPr>
        <w:t>fog</w:t>
      </w:r>
      <w:proofErr w:type="spellEnd"/>
      <w:r w:rsidRPr="00B473AA">
        <w:rPr>
          <w:rFonts w:ascii="Montserrat" w:eastAsia="Times New Roman" w:hAnsi="Montserrat" w:cs="Arial"/>
          <w:color w:val="135666"/>
          <w:lang w:val="x-none" w:eastAsia="x-none"/>
        </w:rPr>
        <w:t>“ auch zu akuten psychiatrischen Bildern (sog. Pathologischer Rauschzustand bzw. Brauerei-Syndrom) führen, und erzeugen pathologisch hohe Blutalkoholspiegel, ohne dass der Betroffene Alkohol zu sich genommen hat. Zusätzlich stehen sie im Zusammenhang auch mit dem chronischen Erschöpfungs-Syndrom sowie weiteren psycho-neurologisch/dementiellen oder systemisch-entzündlichen klinischer Bildern.</w:t>
      </w:r>
    </w:p>
    <w:p w14:paraId="04DC42E1"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10FE6957"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Dichlormethan wird im Körper zu Kohlenstoffmonoxid umgesetzt und kann zur Kohlenmonoxid-Vergiftung führen. Nach wissenschaftlichen Erkenntnissen steht Dichlormethan unter Verdacht, erbgutschädigend sowie krebsauslösend zu sein.</w:t>
      </w:r>
    </w:p>
    <w:p w14:paraId="0B1BD98B"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675600B"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Benzol und Benzolabkömmlinge sind hoch neuro-</w:t>
      </w:r>
      <w:proofErr w:type="spellStart"/>
      <w:r w:rsidRPr="00B473AA">
        <w:rPr>
          <w:rFonts w:ascii="Montserrat" w:eastAsia="Times New Roman" w:hAnsi="Montserrat" w:cs="Arial"/>
          <w:color w:val="135666"/>
          <w:lang w:val="x-none" w:eastAsia="x-none"/>
        </w:rPr>
        <w:t>immunotoxisch</w:t>
      </w:r>
      <w:proofErr w:type="spellEnd"/>
      <w:r w:rsidRPr="00B473AA">
        <w:rPr>
          <w:rFonts w:ascii="Montserrat" w:eastAsia="Times New Roman" w:hAnsi="Montserrat" w:cs="Arial"/>
          <w:color w:val="135666"/>
          <w:lang w:val="x-none" w:eastAsia="x-none"/>
        </w:rPr>
        <w:t xml:space="preserve">; Benzol und Ethylbenzol sind kanzerogen (lymphatische Leukämie); Xylol und Toluol sind </w:t>
      </w:r>
      <w:r w:rsidRPr="00B473AA">
        <w:rPr>
          <w:rFonts w:ascii="Montserrat" w:eastAsia="Times New Roman" w:hAnsi="Montserrat" w:cs="Arial"/>
          <w:color w:val="135666"/>
          <w:lang w:val="x-none" w:eastAsia="x-none"/>
        </w:rPr>
        <w:lastRenderedPageBreak/>
        <w:t>neurotoxisch und zerstören Nervenzellen.</w:t>
      </w:r>
    </w:p>
    <w:p w14:paraId="1FF268D4"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31AC56E5"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Kommentar: die Referenzbereiche, innerhalb derer die Substanzen als harmlos eingestuft werden, gelten nur für akute Belastungen. Bei Ihren Ergebnissen ist folgender Sachverhalt zu beachten:</w:t>
      </w:r>
    </w:p>
    <w:p w14:paraId="3B8E6CC7"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61EFE31C" w14:textId="4540FE9E" w:rsidR="00325355" w:rsidRPr="00BD2C83" w:rsidRDefault="00325355" w:rsidP="00BD2C83">
      <w:pPr>
        <w:pStyle w:val="Listenabsatz"/>
        <w:widowControl w:val="0"/>
        <w:numPr>
          <w:ilvl w:val="0"/>
          <w:numId w:val="4"/>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 xml:space="preserve">Es gilt die </w:t>
      </w:r>
      <w:proofErr w:type="spellStart"/>
      <w:r w:rsidRPr="00BD2C83">
        <w:rPr>
          <w:rFonts w:ascii="Montserrat" w:eastAsia="Times New Roman" w:hAnsi="Montserrat" w:cs="Arial"/>
          <w:color w:val="135666"/>
          <w:lang w:val="x-none" w:eastAsia="x-none"/>
        </w:rPr>
        <w:t>Haber’sche</w:t>
      </w:r>
      <w:proofErr w:type="spellEnd"/>
      <w:r w:rsidRPr="00BD2C83">
        <w:rPr>
          <w:rFonts w:ascii="Montserrat" w:eastAsia="Times New Roman" w:hAnsi="Montserrat" w:cs="Arial"/>
          <w:color w:val="135666"/>
          <w:lang w:val="x-none" w:eastAsia="x-none"/>
        </w:rPr>
        <w:t xml:space="preserve"> Regel: „Ein Gift einer Konzentration „C“ verursacht bei einer Einwirkzeit „t“ die Wirkung „W„. Die gleiche Wirkung lässt sich durch proportional längere Einwirkzeit mit einer proportional geringeren Konzentration hervorrufen, bzw. durch eine entsprechend höhere Konzentration und in einem entsprechend geringeren Zeitraum.</w:t>
      </w:r>
    </w:p>
    <w:p w14:paraId="359C38EF" w14:textId="77777777" w:rsidR="00BD2C83" w:rsidRPr="00BD2C83" w:rsidRDefault="00BD2C83" w:rsidP="00BD2C83">
      <w:pPr>
        <w:pStyle w:val="Listenabsatz"/>
        <w:widowControl w:val="0"/>
        <w:autoSpaceDE w:val="0"/>
        <w:autoSpaceDN w:val="0"/>
        <w:adjustRightInd w:val="0"/>
        <w:spacing w:after="0" w:line="264" w:lineRule="auto"/>
        <w:rPr>
          <w:rFonts w:ascii="Montserrat" w:eastAsia="Times New Roman" w:hAnsi="Montserrat" w:cs="Arial"/>
          <w:color w:val="135666"/>
          <w:lang w:val="x-none" w:eastAsia="x-none"/>
        </w:rPr>
      </w:pPr>
    </w:p>
    <w:p w14:paraId="4AE89AB0" w14:textId="0DD74ECD" w:rsidR="00325355" w:rsidRPr="00BD2C83" w:rsidRDefault="00325355" w:rsidP="00BD2C83">
      <w:pPr>
        <w:pStyle w:val="Listenabsatz"/>
        <w:widowControl w:val="0"/>
        <w:numPr>
          <w:ilvl w:val="0"/>
          <w:numId w:val="4"/>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Die angeben Referenzen gelten nur für die akute Belastung, nicht für die chronische - teils über Jahre gehende - Belastung. Hierfür gibt es weder physiologische noch toxikologische Referenzbereiche, weil nicht ermittelbar und medizinisch ohne Belang (denn Stoffe der künstlichen Chlorchemie kommen in der Natur nicht vor).</w:t>
      </w:r>
    </w:p>
    <w:p w14:paraId="33D7B02B" w14:textId="77777777" w:rsidR="00BD2C83" w:rsidRPr="00BD2C83" w:rsidRDefault="00BD2C83" w:rsidP="00BD2C83">
      <w:pPr>
        <w:pStyle w:val="Listenabsatz"/>
        <w:rPr>
          <w:rFonts w:ascii="Montserrat" w:eastAsia="Times New Roman" w:hAnsi="Montserrat" w:cs="Arial"/>
          <w:color w:val="135666"/>
          <w:lang w:val="x-none" w:eastAsia="x-none"/>
        </w:rPr>
      </w:pPr>
    </w:p>
    <w:p w14:paraId="71EF8BE9" w14:textId="77777777" w:rsidR="00BD2C83" w:rsidRPr="00BD2C83" w:rsidRDefault="00BD2C83" w:rsidP="00BD2C83">
      <w:pPr>
        <w:pStyle w:val="Listenabsatz"/>
        <w:widowControl w:val="0"/>
        <w:autoSpaceDE w:val="0"/>
        <w:autoSpaceDN w:val="0"/>
        <w:adjustRightInd w:val="0"/>
        <w:spacing w:after="0" w:line="264" w:lineRule="auto"/>
        <w:rPr>
          <w:rFonts w:ascii="Montserrat" w:eastAsia="Times New Roman" w:hAnsi="Montserrat" w:cs="Arial"/>
          <w:color w:val="135666"/>
          <w:lang w:val="x-none" w:eastAsia="x-none"/>
        </w:rPr>
      </w:pPr>
    </w:p>
    <w:p w14:paraId="588332E5" w14:textId="6C1016F3" w:rsidR="00325355" w:rsidRPr="00BD2C83" w:rsidRDefault="00325355" w:rsidP="00BD2C83">
      <w:pPr>
        <w:pStyle w:val="Listenabsatz"/>
        <w:widowControl w:val="0"/>
        <w:numPr>
          <w:ilvl w:val="0"/>
          <w:numId w:val="4"/>
        </w:numPr>
        <w:autoSpaceDE w:val="0"/>
        <w:autoSpaceDN w:val="0"/>
        <w:adjustRightInd w:val="0"/>
        <w:spacing w:after="0" w:line="264" w:lineRule="auto"/>
        <w:rPr>
          <w:rFonts w:ascii="Montserrat" w:eastAsia="Times New Roman" w:hAnsi="Montserrat" w:cs="Arial"/>
          <w:color w:val="135666"/>
          <w:lang w:val="x-none" w:eastAsia="x-none"/>
        </w:rPr>
      </w:pPr>
      <w:r w:rsidRPr="00BD2C83">
        <w:rPr>
          <w:rFonts w:ascii="Montserrat" w:eastAsia="Times New Roman" w:hAnsi="Montserrat" w:cs="Arial"/>
          <w:color w:val="135666"/>
          <w:lang w:val="x-none" w:eastAsia="x-none"/>
        </w:rPr>
        <w:t>Referenzbereiche bei o.g. Substanzen sagen nichts über „gesund“ oder „krank“ beim betroffenen Patienten aus. Es gilt viel mehr: die angegebenen Konzentrationen in Gramm, Milligramm bzw. Mikrogramm sagen nichts über die wirklichen Verhältnisse in den Zellen aus.</w:t>
      </w:r>
    </w:p>
    <w:p w14:paraId="00E4FED0" w14:textId="77777777" w:rsidR="00BD2C83" w:rsidRPr="00BD2C83" w:rsidRDefault="00BD2C83" w:rsidP="00BD2C83">
      <w:pPr>
        <w:pStyle w:val="Listenabsatz"/>
        <w:widowControl w:val="0"/>
        <w:autoSpaceDE w:val="0"/>
        <w:autoSpaceDN w:val="0"/>
        <w:adjustRightInd w:val="0"/>
        <w:spacing w:after="0" w:line="264" w:lineRule="auto"/>
        <w:rPr>
          <w:rFonts w:ascii="Montserrat" w:eastAsia="Times New Roman" w:hAnsi="Montserrat" w:cs="Arial"/>
          <w:color w:val="135666"/>
          <w:lang w:val="x-none" w:eastAsia="x-none"/>
        </w:rPr>
      </w:pPr>
    </w:p>
    <w:p w14:paraId="3C4456AE"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Es gilt das Gesetz nach Avogadro als Naturkonstante: danach enthält 1 Mol einer Substanz 6,023 x 10</w:t>
      </w:r>
      <w:r w:rsidRPr="00B473AA">
        <w:rPr>
          <w:rFonts w:ascii="Montserrat" w:hAnsi="Montserrat" w:cs="Arial"/>
          <w:color w:val="135666"/>
          <w:position w:val="10"/>
          <w:sz w:val="14"/>
          <w:szCs w:val="14"/>
          <w:lang w:val="x-none" w:eastAsia="x-none"/>
        </w:rPr>
        <w:t>23</w:t>
      </w:r>
      <w:r w:rsidRPr="00B473AA">
        <w:rPr>
          <w:rFonts w:ascii="Montserrat" w:hAnsi="Montserrat" w:cs="Arial"/>
          <w:color w:val="135666"/>
          <w:lang w:val="x-none" w:eastAsia="x-none"/>
        </w:rPr>
        <w:t xml:space="preserve"> Atome bzw. Molek</w:t>
      </w:r>
      <w:r w:rsidRPr="00B473AA">
        <w:rPr>
          <w:rFonts w:ascii="Montserrat" w:eastAsia="Times New Roman" w:hAnsi="Montserrat" w:cs="Arial"/>
          <w:color w:val="135666"/>
          <w:lang w:val="x-none" w:eastAsia="x-none"/>
        </w:rPr>
        <w:t>üle bzw. subatomare Partikel. Das bedeutet z.B. für Kohlenstoff mit der Massezahl 12 U = 12g = 6,023 x 10</w:t>
      </w:r>
      <w:r w:rsidRPr="00B473AA">
        <w:rPr>
          <w:rFonts w:ascii="Montserrat" w:hAnsi="Montserrat" w:cs="Arial"/>
          <w:color w:val="135666"/>
          <w:position w:val="10"/>
          <w:sz w:val="14"/>
          <w:szCs w:val="14"/>
          <w:lang w:val="x-none" w:eastAsia="x-none"/>
        </w:rPr>
        <w:t>23</w:t>
      </w:r>
      <w:r w:rsidRPr="00B473AA">
        <w:rPr>
          <w:rFonts w:ascii="Montserrat" w:hAnsi="Montserrat" w:cs="Arial"/>
          <w:color w:val="135666"/>
          <w:lang w:val="x-none" w:eastAsia="x-none"/>
        </w:rPr>
        <w:t xml:space="preserve"> Kohlenstoff-Atome. Somit sind in 12 mg Kohlenstoff 6,023x10</w:t>
      </w:r>
      <w:r w:rsidRPr="00B473AA">
        <w:rPr>
          <w:rFonts w:ascii="Montserrat" w:hAnsi="Montserrat" w:cs="Arial"/>
          <w:color w:val="135666"/>
          <w:position w:val="10"/>
          <w:sz w:val="14"/>
          <w:szCs w:val="14"/>
          <w:lang w:val="x-none" w:eastAsia="x-none"/>
        </w:rPr>
        <w:t>23</w:t>
      </w:r>
      <w:r w:rsidRPr="00B473AA">
        <w:rPr>
          <w:rFonts w:ascii="Montserrat" w:hAnsi="Montserrat" w:cs="Arial"/>
          <w:color w:val="135666"/>
          <w:lang w:val="x-none" w:eastAsia="x-none"/>
        </w:rPr>
        <w:t xml:space="preserve"> und in 12ug Kohlenstoff 6,023x10</w:t>
      </w:r>
      <w:r w:rsidRPr="00B473AA">
        <w:rPr>
          <w:rFonts w:ascii="Montserrat" w:hAnsi="Montserrat" w:cs="Arial"/>
          <w:color w:val="135666"/>
          <w:position w:val="10"/>
          <w:sz w:val="14"/>
          <w:szCs w:val="14"/>
          <w:lang w:val="x-none" w:eastAsia="x-none"/>
        </w:rPr>
        <w:t>17</w:t>
      </w:r>
      <w:r w:rsidRPr="00B473AA">
        <w:rPr>
          <w:rFonts w:ascii="Montserrat" w:hAnsi="Montserrat" w:cs="Arial"/>
          <w:color w:val="135666"/>
          <w:lang w:val="x-none" w:eastAsia="x-none"/>
        </w:rPr>
        <w:t xml:space="preserve"> Kohlenstoffatome. Entsprechend gilt dies f</w:t>
      </w:r>
      <w:r w:rsidRPr="00B473AA">
        <w:rPr>
          <w:rFonts w:ascii="Montserrat" w:eastAsia="Times New Roman" w:hAnsi="Montserrat" w:cs="Arial"/>
          <w:color w:val="135666"/>
          <w:lang w:val="x-none" w:eastAsia="x-none"/>
        </w:rPr>
        <w:t>ür andere Stoffe wie auch die o.g. Stoffe der Chlorchemie ebenso. Statistisch gesehen ist in jeder Zelle ein toxisches Molekül vorhanden (Anzahl aller Zellen im Menschen 10</w:t>
      </w:r>
      <w:r w:rsidRPr="00B473AA">
        <w:rPr>
          <w:rFonts w:ascii="Montserrat" w:hAnsi="Montserrat" w:cs="Arial"/>
          <w:color w:val="135666"/>
          <w:position w:val="10"/>
          <w:sz w:val="14"/>
          <w:szCs w:val="14"/>
          <w:lang w:val="x-none" w:eastAsia="x-none"/>
        </w:rPr>
        <w:t>14</w:t>
      </w:r>
      <w:r w:rsidRPr="00B473AA">
        <w:rPr>
          <w:rFonts w:ascii="Montserrat" w:hAnsi="Montserrat" w:cs="Arial"/>
          <w:color w:val="135666"/>
          <w:lang w:val="x-none" w:eastAsia="x-none"/>
        </w:rPr>
        <w:t>). 1 Molek</w:t>
      </w:r>
      <w:r w:rsidRPr="00B473AA">
        <w:rPr>
          <w:rFonts w:ascii="Montserrat" w:eastAsia="Times New Roman" w:hAnsi="Montserrat" w:cs="Arial"/>
          <w:color w:val="135666"/>
          <w:lang w:val="x-none" w:eastAsia="x-none"/>
        </w:rPr>
        <w:t>ül dieser Stoffklasse (künstliche Chlorchemie) löst in jeder Zelle also eine Kettenreaktion mit mehr als 20.000 toxischen Radikalmolekülen aus.</w:t>
      </w:r>
    </w:p>
    <w:p w14:paraId="24BE22BC"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2D4751C0"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24180938"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Multielementanalyse (toxische Metalle):</w:t>
      </w:r>
    </w:p>
    <w:p w14:paraId="49267459"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634A4D5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Welche toxischen Metalle bei Ihnen gefunden wurden k</w:t>
      </w:r>
      <w:r w:rsidRPr="00B473AA">
        <w:rPr>
          <w:rFonts w:ascii="Montserrat" w:eastAsia="Times New Roman" w:hAnsi="Montserrat" w:cs="Arial"/>
          <w:color w:val="135666"/>
          <w:lang w:val="x-none" w:eastAsia="x-none"/>
        </w:rPr>
        <w:t>önnen Sie dem Befund entnehmen.</w:t>
      </w:r>
    </w:p>
    <w:p w14:paraId="3486596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21217B5F" w14:textId="77777777" w:rsidR="00325355"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Kommentar: Die gefundenen Metalle sind - jedes für sich genommen - bereits neuro-</w:t>
      </w:r>
      <w:proofErr w:type="spellStart"/>
      <w:r w:rsidRPr="00B473AA">
        <w:rPr>
          <w:rFonts w:ascii="Montserrat" w:eastAsia="Times New Roman" w:hAnsi="Montserrat" w:cs="Arial"/>
          <w:color w:val="135666"/>
          <w:lang w:val="x-none" w:eastAsia="x-none"/>
        </w:rPr>
        <w:t>immunotoxisch</w:t>
      </w:r>
      <w:proofErr w:type="spellEnd"/>
      <w:r w:rsidRPr="00B473AA">
        <w:rPr>
          <w:rFonts w:ascii="Montserrat" w:eastAsia="Times New Roman" w:hAnsi="Montserrat" w:cs="Arial"/>
          <w:color w:val="135666"/>
          <w:lang w:val="x-none" w:eastAsia="x-none"/>
        </w:rPr>
        <w:t xml:space="preserve"> (können also toxische Schäden am Nervensystem wie auch am Immunsystem hervorrufen). In ihrer Gesamtheit (gleichzeitige Anwesenheit mehrerer toxischer Metalle innerhalb und </w:t>
      </w:r>
      <w:proofErr w:type="spellStart"/>
      <w:r w:rsidRPr="00B473AA">
        <w:rPr>
          <w:rFonts w:ascii="Montserrat" w:eastAsia="Times New Roman" w:hAnsi="Montserrat" w:cs="Arial"/>
          <w:color w:val="135666"/>
          <w:lang w:val="x-none" w:eastAsia="x-none"/>
        </w:rPr>
        <w:t>ausserhalb</w:t>
      </w:r>
      <w:proofErr w:type="spellEnd"/>
      <w:r w:rsidRPr="00B473AA">
        <w:rPr>
          <w:rFonts w:ascii="Montserrat" w:eastAsia="Times New Roman" w:hAnsi="Montserrat" w:cs="Arial"/>
          <w:color w:val="135666"/>
          <w:lang w:val="x-none" w:eastAsia="x-none"/>
        </w:rPr>
        <w:t xml:space="preserve"> der Zellen) potenziert sich ihre neuro-</w:t>
      </w:r>
      <w:proofErr w:type="spellStart"/>
      <w:r w:rsidRPr="00B473AA">
        <w:rPr>
          <w:rFonts w:ascii="Montserrat" w:eastAsia="Times New Roman" w:hAnsi="Montserrat" w:cs="Arial"/>
          <w:color w:val="135666"/>
          <w:lang w:val="x-none" w:eastAsia="x-none"/>
        </w:rPr>
        <w:t>immunotoxische</w:t>
      </w:r>
      <w:proofErr w:type="spellEnd"/>
      <w:r w:rsidRPr="00B473AA">
        <w:rPr>
          <w:rFonts w:ascii="Montserrat" w:eastAsia="Times New Roman" w:hAnsi="Montserrat" w:cs="Arial"/>
          <w:color w:val="135666"/>
          <w:lang w:val="x-none" w:eastAsia="x-none"/>
        </w:rPr>
        <w:t xml:space="preserve"> Wirkung gegenseitig (Witte et al 2005).</w:t>
      </w:r>
    </w:p>
    <w:p w14:paraId="73EA3E52" w14:textId="77777777" w:rsidR="00BD2C83" w:rsidRPr="00B473AA" w:rsidRDefault="00BD2C83"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1C86BE03"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Diese Stoffe haben aber </w:t>
      </w:r>
      <w:r w:rsidRPr="00B473AA">
        <w:rPr>
          <w:rFonts w:ascii="Montserrat" w:hAnsi="Montserrat" w:cs="Arial"/>
          <w:b/>
          <w:bCs/>
          <w:color w:val="135666"/>
          <w:u w:val="single"/>
          <w:lang w:val="x-none" w:eastAsia="x-none"/>
        </w:rPr>
        <w:t xml:space="preserve">nicht nur eine toxische (also giftige) Wirkung, sondern </w:t>
      </w:r>
      <w:r w:rsidRPr="00B473AA">
        <w:rPr>
          <w:rFonts w:ascii="Montserrat" w:hAnsi="Montserrat" w:cs="Arial"/>
          <w:b/>
          <w:bCs/>
          <w:color w:val="135666"/>
          <w:u w:val="single"/>
          <w:lang w:val="x-none" w:eastAsia="x-none"/>
        </w:rPr>
        <w:lastRenderedPageBreak/>
        <w:t>auch eine immunologische</w:t>
      </w:r>
      <w:r w:rsidRPr="00B473AA">
        <w:rPr>
          <w:rFonts w:ascii="Montserrat" w:hAnsi="Montserrat" w:cs="Arial"/>
          <w:color w:val="135666"/>
          <w:lang w:val="x-none" w:eastAsia="x-none"/>
        </w:rPr>
        <w:t>. Sie reizen das Immunsystem, besch</w:t>
      </w:r>
      <w:r w:rsidRPr="00B473AA">
        <w:rPr>
          <w:rFonts w:ascii="Montserrat" w:eastAsia="Times New Roman" w:hAnsi="Montserrat" w:cs="Arial"/>
          <w:color w:val="135666"/>
          <w:lang w:val="x-none" w:eastAsia="x-none"/>
        </w:rPr>
        <w:t>äftigen dauerhaft die Abwehr, schwächen auf diese Weise den Schutz vor neuen Eindringlingen, schwächen die Tumorzellüberwachung, und können zu Autoimmunerkrankungen führen.</w:t>
      </w:r>
    </w:p>
    <w:p w14:paraId="78342C0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048A6942"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Arsenbelastung</w:t>
      </w:r>
      <w:r w:rsidRPr="00B473AA">
        <w:rPr>
          <w:rFonts w:ascii="Montserrat" w:hAnsi="Montserrat" w:cs="Arial"/>
          <w:color w:val="135666"/>
          <w:lang w:val="x-none" w:eastAsia="x-none"/>
        </w:rPr>
        <w:t>: zu viel Arsen kann die Ausscheidung von Selen erh</w:t>
      </w:r>
      <w:r w:rsidRPr="00B473AA">
        <w:rPr>
          <w:rFonts w:ascii="Montserrat" w:eastAsia="Times New Roman" w:hAnsi="Montserrat" w:cs="Arial"/>
          <w:color w:val="135666"/>
          <w:lang w:val="x-none" w:eastAsia="x-none"/>
        </w:rPr>
        <w:t xml:space="preserve">öhen. Zudem Hemmung der Produktion und der Aktivität von ATP (Energiestoffwechsel); erhöht oxidativen Stress (freie Radikale), hemmt die DNA-Reparatur; kommt vor allem vor in Fisch, Meeresfrüchten, Reis </w:t>
      </w:r>
    </w:p>
    <w:p w14:paraId="4CF4B290"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daher mit viel Wasser kochen, Wasser danach weggießen!), Müllverbrennung, Tabakrauch, Obstbau, importiertem Wein (in Deutschland im Weinbau verboten).</w:t>
      </w:r>
    </w:p>
    <w:p w14:paraId="627310E2"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35B8E62"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Cadmiumbelastung:</w:t>
      </w:r>
      <w:r w:rsidRPr="00B473AA">
        <w:rPr>
          <w:rFonts w:ascii="Montserrat" w:hAnsi="Montserrat" w:cs="Arial"/>
          <w:color w:val="135666"/>
          <w:lang w:val="x-none" w:eastAsia="x-none"/>
        </w:rPr>
        <w:t xml:space="preserve"> Cadmium kann sich allm</w:t>
      </w:r>
      <w:r w:rsidRPr="00B473AA">
        <w:rPr>
          <w:rFonts w:ascii="Montserrat" w:eastAsia="Times New Roman" w:hAnsi="Montserrat" w:cs="Arial"/>
          <w:color w:val="135666"/>
          <w:lang w:val="x-none" w:eastAsia="x-none"/>
        </w:rPr>
        <w:t>ählich im Körper anreichern und eine schwer erkennbare chronische Vergiftung hervorrufen. Es vermindert allgemein die Entgiftungsleistung und kann zu DNA-Schäden führen. Zudem kann es zu Nierenschädigungen, Knochenbrüchen (durch Mobilisierung des Calciums), Schädigungen des Zentralnervensystems und des Immunsystems kommen. Darüber hinaus gilt Cadmium als krebserzeugende Substanz.</w:t>
      </w:r>
    </w:p>
    <w:p w14:paraId="1A722F1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Cadmium verdrängt Zink und Calcium und hemmt die Selen-Aufnahme. Dadurch kann es zu Mangelerscheinungen kommen. Es kommt vor allem vor in: Tabakrauch, E-Zigaretten, Waldpilzen, Schalentieren, Meeresalgen, Innereien, Kakao, Leinsamen, industriellem Phosphatdünger, zahntechnischen Loten, Tattoofarben.</w:t>
      </w:r>
    </w:p>
    <w:p w14:paraId="2985C8B2"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0C711CC0"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Bleibelastung:</w:t>
      </w:r>
      <w:r w:rsidRPr="00B473AA">
        <w:rPr>
          <w:rFonts w:ascii="Montserrat" w:hAnsi="Montserrat" w:cs="Arial"/>
          <w:color w:val="135666"/>
          <w:lang w:val="x-none" w:eastAsia="x-none"/>
        </w:rPr>
        <w:t xml:space="preserve"> Blei und Bleiverbindungen k</w:t>
      </w:r>
      <w:r w:rsidRPr="00B473AA">
        <w:rPr>
          <w:rFonts w:ascii="Montserrat" w:eastAsia="Times New Roman" w:hAnsi="Montserrat" w:cs="Arial"/>
          <w:color w:val="135666"/>
          <w:lang w:val="x-none" w:eastAsia="x-none"/>
        </w:rPr>
        <w:t>önnen über die Nahrung, durch Inhalation oder über haut aufgenommen werden. Dies führt zu den Schädigungen des zentralen und peripheren Nervensystems, der Blutbildung und des Magen-Darm-Traktes. Blei und seine anorganischen Verbindungen gelten als krebserzeugend.</w:t>
      </w:r>
    </w:p>
    <w:p w14:paraId="6A689B2F"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A164512"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Quecksilberbelastung:</w:t>
      </w:r>
      <w:r w:rsidRPr="00B473AA">
        <w:rPr>
          <w:rFonts w:ascii="Montserrat" w:hAnsi="Montserrat" w:cs="Arial"/>
          <w:color w:val="135666"/>
          <w:lang w:val="x-none" w:eastAsia="x-none"/>
        </w:rPr>
        <w:t xml:space="preserve"> verminderte Entgiftungsleistung; oxidativer Stress, mitochondriale Dysfunktion, Neurotoxizit</w:t>
      </w:r>
      <w:r w:rsidRPr="00B473AA">
        <w:rPr>
          <w:rFonts w:ascii="Montserrat" w:eastAsia="Times New Roman" w:hAnsi="Montserrat" w:cs="Arial"/>
          <w:color w:val="135666"/>
          <w:lang w:val="x-none" w:eastAsia="x-none"/>
        </w:rPr>
        <w:t>ät durch Bildung von Methylquecksilber in Mund und Darm, allergische Sensibilisierung. Quecksilber bindet/inhibiert intrazellulär: Selen, Eisen, Kupfer und Zink; es findet sich z.B. in Fisch, Meeresfrüchten, Amalgam-Füllungen, Emissionen aus Kohlekraftwerken, Energiesparlampen, Neonröhren.</w:t>
      </w:r>
    </w:p>
    <w:p w14:paraId="5364AC10"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5829CA90"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b/>
          <w:bCs/>
          <w:color w:val="135666"/>
          <w:lang w:val="x-none" w:eastAsia="x-none"/>
        </w:rPr>
        <w:t>Molybd</w:t>
      </w:r>
      <w:r w:rsidRPr="00B473AA">
        <w:rPr>
          <w:rFonts w:ascii="Montserrat" w:eastAsia="Times New Roman" w:hAnsi="Montserrat" w:cs="Arial"/>
          <w:b/>
          <w:bCs/>
          <w:color w:val="135666"/>
          <w:lang w:val="x-none" w:eastAsia="x-none"/>
        </w:rPr>
        <w:t>änüberschuss:</w:t>
      </w:r>
      <w:r w:rsidRPr="00B473AA">
        <w:rPr>
          <w:rFonts w:ascii="Montserrat" w:hAnsi="Montserrat" w:cs="Arial"/>
          <w:color w:val="135666"/>
          <w:lang w:val="x-none" w:eastAsia="x-none"/>
        </w:rPr>
        <w:t xml:space="preserve"> erh</w:t>
      </w:r>
      <w:r w:rsidRPr="00B473AA">
        <w:rPr>
          <w:rFonts w:ascii="Montserrat" w:eastAsia="Times New Roman" w:hAnsi="Montserrat" w:cs="Arial"/>
          <w:color w:val="135666"/>
          <w:lang w:val="x-none" w:eastAsia="x-none"/>
        </w:rPr>
        <w:t>öht die tägliche Produktion der Harnsäure und es bilden sich gichtähnliche Symptome. Über unspezifische Symptome, wie Anorexie, Müdigkeit, Kopfschmerzen wurde ebenfalls berichtet.</w:t>
      </w:r>
    </w:p>
    <w:p w14:paraId="564CCD9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5B787E3C"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388FB637"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Allgemeine Informationen zur Gef</w:t>
      </w:r>
      <w:r w:rsidRPr="00B473AA">
        <w:rPr>
          <w:rFonts w:ascii="Montserrat" w:eastAsia="Times New Roman" w:hAnsi="Montserrat" w:cs="Arial"/>
          <w:b/>
          <w:bCs/>
          <w:color w:val="135666"/>
          <w:u w:val="single"/>
          <w:lang w:val="x-none" w:eastAsia="x-none"/>
        </w:rPr>
        <w:t>ährlichkeit einer Belastung mit Giftstoffen und Schadmetallen auch auf niedrigem Niveau:</w:t>
      </w:r>
    </w:p>
    <w:p w14:paraId="7C4E1D77"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5BCD54FE"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Sch</w:t>
      </w:r>
      <w:r w:rsidRPr="00B473AA">
        <w:rPr>
          <w:rFonts w:ascii="Montserrat" w:eastAsia="Times New Roman" w:hAnsi="Montserrat" w:cs="Arial"/>
          <w:color w:val="135666"/>
          <w:lang w:val="x-none" w:eastAsia="x-none"/>
        </w:rPr>
        <w:t xml:space="preserve">ädigende Metalle wie Aluminium, Blei, Quecksilber etc. waren bis vor wenigen hundert Jahren NIE in freier Form für uns Menschen verfügbar. Mithin musste sich unser Organismus damit nicht auseinandersetzen. Dies belegt auch die Tatsache, dass der Mensch nur quasi ein einziges Enzym, die sog. Glutathion-S-Transferase M1 </w:t>
      </w:r>
      <w:r w:rsidRPr="00B473AA">
        <w:rPr>
          <w:rFonts w:ascii="Montserrat" w:eastAsia="Times New Roman" w:hAnsi="Montserrat" w:cs="Arial"/>
          <w:color w:val="135666"/>
          <w:lang w:val="x-none" w:eastAsia="x-none"/>
        </w:rPr>
        <w:lastRenderedPageBreak/>
        <w:t>(GST-M1), für die Ausscheidung solcher toxischer Metalle hat. Und dieses Enzym ist bei 50% der Menschen weltweit nicht angelegt. Damit akkumulieren toxische Metalle im Körper dieser Menschen und führen zu Langzeitschäden. Ein weiterer Beleg ist die Tatsache, dass die Plazenta (der Mutterkuchen) bei Schwangeren Bakterien, Viren, Umweltgifte etc. vom Kind fern hält, jedoch keine Schadmetalle.</w:t>
      </w:r>
    </w:p>
    <w:p w14:paraId="6F426A5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61F766AC"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Es ist falsch, anzunehmen, dass ein Giftstoff in einem Organismus nur Schaden anrichtet, wenn es sich um eine Akutvergiftung handelt. Dasselbe gilt auch für die chronische Belastung mit geringeren Mengen.</w:t>
      </w:r>
    </w:p>
    <w:p w14:paraId="6B2ABC1C"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617F6007"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eastAsia="Times New Roman" w:hAnsi="Montserrat" w:cs="Arial"/>
          <w:color w:val="135666"/>
          <w:lang w:val="x-none" w:eastAsia="x-none"/>
        </w:rPr>
        <w:t xml:space="preserve">Die </w:t>
      </w:r>
      <w:proofErr w:type="spellStart"/>
      <w:r w:rsidRPr="00B473AA">
        <w:rPr>
          <w:rFonts w:ascii="Montserrat" w:hAnsi="Montserrat" w:cs="Arial"/>
          <w:b/>
          <w:bCs/>
          <w:color w:val="135666"/>
          <w:lang w:val="x-none" w:eastAsia="x-none"/>
        </w:rPr>
        <w:t>Habersche</w:t>
      </w:r>
      <w:proofErr w:type="spellEnd"/>
      <w:r w:rsidRPr="00B473AA">
        <w:rPr>
          <w:rFonts w:ascii="Montserrat" w:hAnsi="Montserrat" w:cs="Arial"/>
          <w:b/>
          <w:bCs/>
          <w:color w:val="135666"/>
          <w:lang w:val="x-none" w:eastAsia="x-none"/>
        </w:rPr>
        <w:t xml:space="preserve"> Regel</w:t>
      </w:r>
      <w:r w:rsidRPr="00B473AA">
        <w:rPr>
          <w:rFonts w:ascii="Montserrat" w:hAnsi="Montserrat" w:cs="Arial"/>
          <w:color w:val="135666"/>
          <w:lang w:val="x-none" w:eastAsia="x-none"/>
        </w:rPr>
        <w:t xml:space="preserve"> ist eine in der Toxikologie verwendete mathematische Beziehung zwischen der Konzentration eines Giftstoffes und der Dauer der Verabreichung, beziehungsweise Exposition, dieses Giftes. Die </w:t>
      </w:r>
      <w:proofErr w:type="spellStart"/>
      <w:r w:rsidRPr="00B473AA">
        <w:rPr>
          <w:rFonts w:ascii="Montserrat" w:hAnsi="Montserrat" w:cs="Arial"/>
          <w:color w:val="135666"/>
          <w:lang w:val="x-none" w:eastAsia="x-none"/>
        </w:rPr>
        <w:t>Habersche</w:t>
      </w:r>
      <w:proofErr w:type="spellEnd"/>
      <w:r w:rsidRPr="00B473AA">
        <w:rPr>
          <w:rFonts w:ascii="Montserrat" w:hAnsi="Montserrat" w:cs="Arial"/>
          <w:color w:val="135666"/>
          <w:lang w:val="x-none" w:eastAsia="x-none"/>
        </w:rPr>
        <w:t xml:space="preserve"> Regel ist nach dem deutschen Chemiker Fritz Haber benannt. Sie besagt, dass das Produkt aus Konzentration (c) und Dauer (t) einer konstanten (k) biologischen Wirkung entspricht: c x  t = k</w:t>
      </w:r>
    </w:p>
    <w:p w14:paraId="6E93CF12" w14:textId="77777777" w:rsidR="00325355"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color w:val="135666"/>
          <w:lang w:val="x-none" w:eastAsia="x-none"/>
        </w:rPr>
        <w:t>Die biologische Wirkung kann eine Erkrankung (beispielsweise Krebs) oder der Tod des exponierten Lebewesens sein.</w:t>
      </w:r>
    </w:p>
    <w:p w14:paraId="649946AE" w14:textId="77777777" w:rsidR="00BD2C83" w:rsidRPr="00B473AA" w:rsidRDefault="00BD2C83" w:rsidP="00325355">
      <w:pPr>
        <w:widowControl w:val="0"/>
        <w:autoSpaceDE w:val="0"/>
        <w:autoSpaceDN w:val="0"/>
        <w:adjustRightInd w:val="0"/>
        <w:spacing w:after="0" w:line="264" w:lineRule="auto"/>
        <w:rPr>
          <w:rFonts w:ascii="Montserrat" w:hAnsi="Montserrat" w:cs="Arial"/>
          <w:color w:val="135666"/>
          <w:lang w:val="x-none" w:eastAsia="x-none"/>
        </w:rPr>
      </w:pPr>
    </w:p>
    <w:p w14:paraId="377BE046"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Das hei</w:t>
      </w:r>
      <w:r w:rsidRPr="00B473AA">
        <w:rPr>
          <w:rFonts w:ascii="Montserrat" w:eastAsia="Times New Roman" w:hAnsi="Montserrat" w:cs="Arial"/>
          <w:color w:val="135666"/>
          <w:lang w:val="x-none" w:eastAsia="x-none"/>
        </w:rPr>
        <w:t xml:space="preserve">ßt, dass bei ständiger Zufuhr oder beim ständigen Einwirkungen einer unterschwellig toxischen Dosis die Giftigkeit mit der Zeit ansteigt. </w:t>
      </w:r>
    </w:p>
    <w:p w14:paraId="2657A54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0B6CC2C8"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Während viele Belastungen, die den Körper treffen, relativ rasch abgebaut werden, sieht der Verlauf der Wirkspanne bei Schadmetallen jedoch ganz anders aus. Die Verweildauer im Körper ist hoch. Bei Schadmetallen gilt die </w:t>
      </w:r>
      <w:proofErr w:type="spellStart"/>
      <w:r w:rsidRPr="00B473AA">
        <w:rPr>
          <w:rFonts w:ascii="Montserrat" w:eastAsia="Times New Roman" w:hAnsi="Montserrat" w:cs="Arial"/>
          <w:color w:val="135666"/>
          <w:lang w:val="x-none" w:eastAsia="x-none"/>
        </w:rPr>
        <w:t>Habersche</w:t>
      </w:r>
      <w:proofErr w:type="spellEnd"/>
      <w:r w:rsidRPr="00B473AA">
        <w:rPr>
          <w:rFonts w:ascii="Montserrat" w:eastAsia="Times New Roman" w:hAnsi="Montserrat" w:cs="Arial"/>
          <w:color w:val="135666"/>
          <w:lang w:val="x-none" w:eastAsia="x-none"/>
        </w:rPr>
        <w:t xml:space="preserve"> Regel, nach der sich die </w:t>
      </w:r>
      <w:r w:rsidRPr="00B473AA">
        <w:rPr>
          <w:rFonts w:ascii="Montserrat" w:hAnsi="Montserrat" w:cs="Arial"/>
          <w:b/>
          <w:bCs/>
          <w:color w:val="135666"/>
          <w:u w:val="single"/>
          <w:lang w:val="x-none" w:eastAsia="x-none"/>
        </w:rPr>
        <w:t xml:space="preserve">toxische </w:t>
      </w:r>
      <w:r w:rsidRPr="00B473AA">
        <w:rPr>
          <w:rFonts w:ascii="Montserrat" w:hAnsi="Montserrat" w:cs="Arial"/>
          <w:color w:val="135666"/>
          <w:lang w:val="x-none" w:eastAsia="x-none"/>
        </w:rPr>
        <w:t>Wirkung aus der Konzentration des Giftstoffs in Kombination mit der Einwirkzeit ergibt. Zur Verdeutlichung, wie laut der Haberschen Regel Zeit und Toxizit</w:t>
      </w:r>
      <w:r w:rsidRPr="00B473AA">
        <w:rPr>
          <w:rFonts w:ascii="Montserrat" w:eastAsia="Times New Roman" w:hAnsi="Montserrat" w:cs="Arial"/>
          <w:color w:val="135666"/>
          <w:lang w:val="x-none" w:eastAsia="x-none"/>
        </w:rPr>
        <w:t xml:space="preserve">ät zusammenhängen, zeige ich Ihnen folgende Berechnung: Eine Konzentration mit einer Wirkung vom Faktor 5 und einer Wirkzeit von 20 Tagen (5 x 20 = 100) übt dieselbe Schadwirkung auf den Körper aus wie eine Konzentration mit Faktor 0,05 und einer Wirkdauer von 2000 Tagen, also rund 5,5 Jahren (0,05 x 2000 = 100). An diesem Beispiel können Sie erkennen, dass auch kleinste Giftmengen bestimmter Stoffe hochtoxisch wirken können, wenn sie eine lange Verweildauer im Körper haben. Die Verweildauer ergibt sich schon allein daraus, dass Toxine wie Quecksilber, Blei, Gadolinium etc. eine sehr lange Halbwertszeit von etlichen Jahren (10-50 Jahren) im Körper haben. Zudem werden sie in verschiedenen Depots innerhalb des Körpers abgelagert und verlassen ihn ohne entsprechende Stimulanz nicht mehr. So kann es passieren, dass jemand geringe Mengen eines dieser Stoffe aufnimmt, zunächst keine schädliche Wirkung bemerkt, aber dennoch nach Jahren davon krank werden kann, weil sich die Wirkdauer verlängert und damit die toxische Wirkung stetig ansteigt. </w:t>
      </w:r>
    </w:p>
    <w:p w14:paraId="66791D4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F658749"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Dabei muss auch bedacht werden, dass die Aufnahme von Schadmetallen  in den seltensten Fällen einmalige Ereignisse sind. In der Regel werden diese Stoffe aus Quellen aufgenommen, zu denen permanenter oder wiederholter Kontakt besteht oder bestand. Als Beispiel kann man hier an Zahnfüllungen, Farbanstriche, Lebensmittel etc. denken, die ständig oder immer wieder Toxine an den Körper </w:t>
      </w:r>
      <w:r w:rsidRPr="00B473AA">
        <w:rPr>
          <w:rFonts w:ascii="Montserrat" w:eastAsia="Times New Roman" w:hAnsi="Montserrat" w:cs="Arial"/>
          <w:color w:val="135666"/>
          <w:lang w:val="x-none" w:eastAsia="x-none"/>
        </w:rPr>
        <w:lastRenderedPageBreak/>
        <w:t xml:space="preserve">abgeben. Es gilt da also nicht nur die </w:t>
      </w:r>
      <w:proofErr w:type="spellStart"/>
      <w:r w:rsidRPr="00B473AA">
        <w:rPr>
          <w:rFonts w:ascii="Montserrat" w:eastAsia="Times New Roman" w:hAnsi="Montserrat" w:cs="Arial"/>
          <w:color w:val="135666"/>
          <w:lang w:val="x-none" w:eastAsia="x-none"/>
        </w:rPr>
        <w:t>Habersche</w:t>
      </w:r>
      <w:proofErr w:type="spellEnd"/>
      <w:r w:rsidRPr="00B473AA">
        <w:rPr>
          <w:rFonts w:ascii="Montserrat" w:eastAsia="Times New Roman" w:hAnsi="Montserrat" w:cs="Arial"/>
          <w:color w:val="135666"/>
          <w:lang w:val="x-none" w:eastAsia="x-none"/>
        </w:rPr>
        <w:t xml:space="preserve"> Regel, sondern die Wirkung wird zudem noch durch kumulierende Anreicherung intensiviert.</w:t>
      </w:r>
    </w:p>
    <w:p w14:paraId="0503C87A"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D2E9256"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EB0D8E9"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Auch die </w:t>
      </w:r>
      <w:r w:rsidRPr="00B473AA">
        <w:rPr>
          <w:rFonts w:ascii="Montserrat" w:hAnsi="Montserrat" w:cs="Arial"/>
          <w:b/>
          <w:bCs/>
          <w:color w:val="135666"/>
          <w:lang w:val="x-none" w:eastAsia="x-none"/>
        </w:rPr>
        <w:t xml:space="preserve">Referenzbereiche </w:t>
      </w:r>
      <w:r w:rsidRPr="00B473AA">
        <w:rPr>
          <w:rFonts w:ascii="Montserrat" w:hAnsi="Montserrat" w:cs="Arial"/>
          <w:color w:val="135666"/>
          <w:lang w:val="x-none" w:eastAsia="x-none"/>
        </w:rPr>
        <w:t xml:space="preserve">bei Schadmetallen und anderen toxischen Substanzen sagen nichts </w:t>
      </w:r>
      <w:r w:rsidRPr="00B473AA">
        <w:rPr>
          <w:rFonts w:ascii="Montserrat" w:eastAsia="Times New Roman" w:hAnsi="Montserrat" w:cs="Arial"/>
          <w:color w:val="135666"/>
          <w:lang w:val="x-none" w:eastAsia="x-none"/>
        </w:rPr>
        <w:t>über „gesund“ oder „krank“ beim betroffenen Patienten aus. Denn sie sagen nichts über die tatsächlichen Verhältnisse in den Zellen aus.</w:t>
      </w:r>
    </w:p>
    <w:p w14:paraId="617E6398" w14:textId="77777777" w:rsidR="00325355"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eastAsia="Times New Roman" w:hAnsi="Montserrat" w:cs="Arial"/>
          <w:color w:val="135666"/>
          <w:lang w:val="x-none" w:eastAsia="x-none"/>
        </w:rPr>
        <w:t xml:space="preserve">Die </w:t>
      </w:r>
      <w:r w:rsidRPr="00B473AA">
        <w:rPr>
          <w:rFonts w:ascii="Montserrat" w:hAnsi="Montserrat" w:cs="Arial"/>
          <w:b/>
          <w:bCs/>
          <w:color w:val="135666"/>
          <w:lang w:val="x-none" w:eastAsia="x-none"/>
        </w:rPr>
        <w:t>Avogadro-Konstante</w:t>
      </w:r>
      <w:r w:rsidRPr="00B473AA">
        <w:rPr>
          <w:rFonts w:ascii="Montserrat" w:hAnsi="Montserrat" w:cs="Arial"/>
          <w:color w:val="135666"/>
          <w:lang w:val="x-none" w:eastAsia="x-none"/>
        </w:rPr>
        <w:t xml:space="preserve">, benannt nach dem Physiker Amedeo Avogadro, gibt an, wie viele Teilchen </w:t>
      </w:r>
      <w:r w:rsidRPr="00B473AA">
        <w:rPr>
          <w:rFonts w:ascii="Montserrat" w:eastAsia="Times New Roman" w:hAnsi="Montserrat" w:cs="Arial"/>
          <w:color w:val="135666"/>
          <w:lang w:val="x-none" w:eastAsia="x-none"/>
        </w:rPr>
        <w:t>– also Atome eines Elements oder Moleküle einer chemischen Verbindung – in einem Mol enthalten sind. Demnach enthält 1 Mol einer Substanz 6,023 x 10</w:t>
      </w:r>
      <w:r w:rsidRPr="00B473AA">
        <w:rPr>
          <w:rFonts w:ascii="Montserrat" w:hAnsi="Montserrat" w:cs="Arial"/>
          <w:color w:val="135666"/>
          <w:position w:val="10"/>
          <w:sz w:val="14"/>
          <w:szCs w:val="14"/>
          <w:lang w:val="x-none" w:eastAsia="x-none"/>
        </w:rPr>
        <w:t>23</w:t>
      </w:r>
      <w:r w:rsidRPr="00B473AA">
        <w:rPr>
          <w:rFonts w:ascii="Montserrat" w:hAnsi="Montserrat" w:cs="Arial"/>
          <w:color w:val="135666"/>
          <w:lang w:val="x-none" w:eastAsia="x-none"/>
        </w:rPr>
        <w:t xml:space="preserve"> Atome bzw. Molek</w:t>
      </w:r>
      <w:r w:rsidRPr="00B473AA">
        <w:rPr>
          <w:rFonts w:ascii="Montserrat" w:eastAsia="Times New Roman" w:hAnsi="Montserrat" w:cs="Arial"/>
          <w:color w:val="135666"/>
          <w:lang w:val="x-none" w:eastAsia="x-none"/>
        </w:rPr>
        <w:t>üle bzw. subatomare Partikel. Ausgeschrieben ist das eine Zahl mit 23 Nullen: 602.300.000.000.000.000.000.000. Das bedeutet z.B. für Kohlenstoff mit der Masseneinheit 12C, dass 12 Gramm Kohlenstoff aus 6,023 x 10</w:t>
      </w:r>
      <w:r w:rsidRPr="00B473AA">
        <w:rPr>
          <w:rFonts w:ascii="Montserrat" w:hAnsi="Montserrat" w:cs="Arial"/>
          <w:color w:val="135666"/>
          <w:position w:val="10"/>
          <w:sz w:val="14"/>
          <w:szCs w:val="14"/>
          <w:lang w:val="x-none" w:eastAsia="x-none"/>
        </w:rPr>
        <w:t>23</w:t>
      </w:r>
      <w:r w:rsidRPr="00B473AA">
        <w:rPr>
          <w:rFonts w:ascii="Montserrat" w:hAnsi="Montserrat" w:cs="Arial"/>
          <w:color w:val="135666"/>
          <w:lang w:val="x-none" w:eastAsia="x-none"/>
        </w:rPr>
        <w:t xml:space="preserve"> Kohlenstoff-Atomen bestehen. Die Avogadro-Zahl ist also der Kehrwert der atomaren Masseneinheit in Gramm. </w:t>
      </w:r>
    </w:p>
    <w:p w14:paraId="20D3B776" w14:textId="77777777" w:rsidR="00BD2C83" w:rsidRPr="00B473AA" w:rsidRDefault="00BD2C83" w:rsidP="00325355">
      <w:pPr>
        <w:widowControl w:val="0"/>
        <w:autoSpaceDE w:val="0"/>
        <w:autoSpaceDN w:val="0"/>
        <w:adjustRightInd w:val="0"/>
        <w:spacing w:after="0" w:line="264" w:lineRule="auto"/>
        <w:rPr>
          <w:rFonts w:ascii="Montserrat" w:hAnsi="Montserrat" w:cs="Arial"/>
          <w:color w:val="135666"/>
          <w:lang w:val="x-none" w:eastAsia="x-none"/>
        </w:rPr>
      </w:pPr>
    </w:p>
    <w:p w14:paraId="48BFAF49" w14:textId="77777777" w:rsidR="00325355"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color w:val="135666"/>
          <w:lang w:val="x-none" w:eastAsia="x-none"/>
        </w:rPr>
        <w:t>Somit sind in 12mg (Milligramm, also tausendstel Gramm) Kohlenstoff 6,023x10</w:t>
      </w:r>
      <w:r w:rsidRPr="00B473AA">
        <w:rPr>
          <w:rFonts w:ascii="Montserrat" w:hAnsi="Montserrat" w:cs="Arial"/>
          <w:color w:val="135666"/>
          <w:position w:val="10"/>
          <w:sz w:val="14"/>
          <w:szCs w:val="14"/>
          <w:lang w:val="x-none" w:eastAsia="x-none"/>
        </w:rPr>
        <w:t>20</w:t>
      </w:r>
      <w:r w:rsidRPr="00B473AA">
        <w:rPr>
          <w:rFonts w:ascii="Montserrat" w:hAnsi="Montserrat" w:cs="Arial"/>
          <w:color w:val="135666"/>
          <w:lang w:val="x-none" w:eastAsia="x-none"/>
        </w:rPr>
        <w:t xml:space="preserve"> und in 12</w:t>
      </w:r>
      <w:r w:rsidRPr="00B473AA">
        <w:rPr>
          <w:rFonts w:ascii="Montserrat" w:eastAsia="Times New Roman" w:hAnsi="Montserrat" w:cs="Arial"/>
          <w:color w:val="135666"/>
          <w:lang w:val="x-none" w:eastAsia="x-none"/>
        </w:rPr>
        <w:t xml:space="preserve">µg (Mikrogramm, also </w:t>
      </w:r>
      <w:proofErr w:type="spellStart"/>
      <w:r w:rsidRPr="00B473AA">
        <w:rPr>
          <w:rFonts w:ascii="Montserrat" w:eastAsia="Times New Roman" w:hAnsi="Montserrat" w:cs="Arial"/>
          <w:color w:val="135666"/>
          <w:lang w:val="x-none" w:eastAsia="x-none"/>
        </w:rPr>
        <w:t>millionstel</w:t>
      </w:r>
      <w:proofErr w:type="spellEnd"/>
      <w:r w:rsidRPr="00B473AA">
        <w:rPr>
          <w:rFonts w:ascii="Montserrat" w:eastAsia="Times New Roman" w:hAnsi="Montserrat" w:cs="Arial"/>
          <w:color w:val="135666"/>
          <w:lang w:val="x-none" w:eastAsia="x-none"/>
        </w:rPr>
        <w:t xml:space="preserve"> Gramm) Kohlenstoff 6,023x10</w:t>
      </w:r>
      <w:r w:rsidRPr="00B473AA">
        <w:rPr>
          <w:rFonts w:ascii="Montserrat" w:hAnsi="Montserrat" w:cs="Arial"/>
          <w:color w:val="135666"/>
          <w:position w:val="10"/>
          <w:sz w:val="14"/>
          <w:szCs w:val="14"/>
          <w:lang w:val="x-none" w:eastAsia="x-none"/>
        </w:rPr>
        <w:t>17</w:t>
      </w:r>
      <w:r w:rsidRPr="00B473AA">
        <w:rPr>
          <w:rFonts w:ascii="Montserrat" w:hAnsi="Montserrat" w:cs="Arial"/>
          <w:color w:val="135666"/>
          <w:sz w:val="14"/>
          <w:szCs w:val="14"/>
          <w:lang w:val="x-none" w:eastAsia="x-none"/>
        </w:rPr>
        <w:t xml:space="preserve"> </w:t>
      </w:r>
      <w:r w:rsidRPr="00B473AA">
        <w:rPr>
          <w:rFonts w:ascii="Montserrat" w:hAnsi="Montserrat" w:cs="Arial"/>
          <w:color w:val="135666"/>
          <w:lang w:val="x-none" w:eastAsia="x-none"/>
        </w:rPr>
        <w:t xml:space="preserve">Kohlenstoffatome. </w:t>
      </w:r>
    </w:p>
    <w:p w14:paraId="1988D6A7" w14:textId="77777777" w:rsidR="00BD2C83" w:rsidRPr="00B473AA" w:rsidRDefault="00BD2C83" w:rsidP="00325355">
      <w:pPr>
        <w:widowControl w:val="0"/>
        <w:autoSpaceDE w:val="0"/>
        <w:autoSpaceDN w:val="0"/>
        <w:adjustRightInd w:val="0"/>
        <w:spacing w:after="0" w:line="264" w:lineRule="auto"/>
        <w:rPr>
          <w:rFonts w:ascii="Montserrat" w:hAnsi="Montserrat" w:cs="Arial"/>
          <w:color w:val="135666"/>
          <w:lang w:val="x-none" w:eastAsia="x-none"/>
        </w:rPr>
      </w:pPr>
    </w:p>
    <w:p w14:paraId="7CB46107" w14:textId="77777777" w:rsidR="00325355"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Entsprechend gilt dies f</w:t>
      </w:r>
      <w:r w:rsidRPr="00B473AA">
        <w:rPr>
          <w:rFonts w:ascii="Montserrat" w:eastAsia="Times New Roman" w:hAnsi="Montserrat" w:cs="Arial"/>
          <w:color w:val="135666"/>
          <w:lang w:val="x-none" w:eastAsia="x-none"/>
        </w:rPr>
        <w:t>ür alle toxischen Stoffe wie Blei, PCB und so weiter. Bei ca. 50 Billionen Körperzellen (also 5x 10</w:t>
      </w:r>
      <w:r w:rsidRPr="00B473AA">
        <w:rPr>
          <w:rFonts w:ascii="Montserrat" w:hAnsi="Montserrat" w:cs="Arial"/>
          <w:color w:val="135666"/>
          <w:position w:val="10"/>
          <w:sz w:val="14"/>
          <w:szCs w:val="14"/>
          <w:lang w:val="x-none" w:eastAsia="x-none"/>
        </w:rPr>
        <w:t>13</w:t>
      </w:r>
      <w:r w:rsidRPr="00B473AA">
        <w:rPr>
          <w:rFonts w:ascii="Montserrat" w:hAnsi="Montserrat" w:cs="Arial"/>
          <w:color w:val="135666"/>
          <w:lang w:val="x-none" w:eastAsia="x-none"/>
        </w:rPr>
        <w:t>) ist statistisch gesehen in jeder Zelle mindestens ein toxisches Molek</w:t>
      </w:r>
      <w:r w:rsidRPr="00B473AA">
        <w:rPr>
          <w:rFonts w:ascii="Montserrat" w:eastAsia="Times New Roman" w:hAnsi="Montserrat" w:cs="Arial"/>
          <w:color w:val="135666"/>
          <w:lang w:val="x-none" w:eastAsia="x-none"/>
        </w:rPr>
        <w:t>ül vorhanden. Und diese Stoffe verursachen unter anderem die Bildung freier Radikale (durch Fenton- oder Haber-</w:t>
      </w:r>
      <w:proofErr w:type="spellStart"/>
      <w:r w:rsidRPr="00B473AA">
        <w:rPr>
          <w:rFonts w:ascii="Montserrat" w:eastAsia="Times New Roman" w:hAnsi="Montserrat" w:cs="Arial"/>
          <w:color w:val="135666"/>
          <w:lang w:val="x-none" w:eastAsia="x-none"/>
        </w:rPr>
        <w:t>Weiss</w:t>
      </w:r>
      <w:proofErr w:type="spellEnd"/>
      <w:r w:rsidRPr="00B473AA">
        <w:rPr>
          <w:rFonts w:ascii="Montserrat" w:eastAsia="Times New Roman" w:hAnsi="Montserrat" w:cs="Arial"/>
          <w:color w:val="135666"/>
          <w:lang w:val="x-none" w:eastAsia="x-none"/>
        </w:rPr>
        <w:t xml:space="preserve">-Reaktionen). </w:t>
      </w:r>
    </w:p>
    <w:p w14:paraId="52713FD5" w14:textId="77777777" w:rsidR="00BD2C83" w:rsidRPr="00B473AA" w:rsidRDefault="00BD2C83"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2EFB3DC2"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Bekannt ist, dass 1 einziges freies Radikal mehr als 1 Million weiterer Radikale durch eine Kettenreaktion erzeugen kann. Schon 1 einziges Molekül zum Beispiel eines giftigen Metalls oder einer künstlichen Chlorverbindung löst in jeder Zelle eine schädliche Kettenreaktion mit mehr bis zu einer Million toxischen Radikalmolekülen aus. Die gebildeten ROS (freien Radikale) lösen eine Entzündungskaskade (NF-kB, TNF-a, IL1/2/6/8) aus, die eine anhaltende Inflammation (Entzündung) verursacht, wie zum Beispiel eine MS (multiple Sklerose).</w:t>
      </w:r>
    </w:p>
    <w:p w14:paraId="777D0AD3"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13152835" w14:textId="77777777" w:rsidR="00325355"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Ebenso bekannt ist, dass freie Radikale zu DNA-Brüchen führen können (vgl. unter anderem "in vivo </w:t>
      </w:r>
      <w:proofErr w:type="spellStart"/>
      <w:r w:rsidRPr="00B473AA">
        <w:rPr>
          <w:rFonts w:ascii="Montserrat" w:eastAsia="Times New Roman" w:hAnsi="Montserrat" w:cs="Arial"/>
          <w:color w:val="135666"/>
          <w:lang w:val="x-none" w:eastAsia="x-none"/>
        </w:rPr>
        <w:t>formation</w:t>
      </w:r>
      <w:proofErr w:type="spellEnd"/>
      <w:r w:rsidRPr="00B473AA">
        <w:rPr>
          <w:rFonts w:ascii="Montserrat" w:eastAsia="Times New Roman" w:hAnsi="Montserrat" w:cs="Arial"/>
          <w:color w:val="135666"/>
          <w:lang w:val="x-none" w:eastAsia="x-none"/>
        </w:rPr>
        <w:t xml:space="preserve"> </w:t>
      </w:r>
      <w:proofErr w:type="spellStart"/>
      <w:r w:rsidRPr="00B473AA">
        <w:rPr>
          <w:rFonts w:ascii="Montserrat" w:eastAsia="Times New Roman" w:hAnsi="Montserrat" w:cs="Arial"/>
          <w:color w:val="135666"/>
          <w:lang w:val="x-none" w:eastAsia="x-none"/>
        </w:rPr>
        <w:t>of</w:t>
      </w:r>
      <w:proofErr w:type="spellEnd"/>
      <w:r w:rsidRPr="00B473AA">
        <w:rPr>
          <w:rFonts w:ascii="Montserrat" w:eastAsia="Times New Roman" w:hAnsi="Montserrat" w:cs="Arial"/>
          <w:color w:val="135666"/>
          <w:lang w:val="x-none" w:eastAsia="x-none"/>
        </w:rPr>
        <w:t xml:space="preserve"> single-strand </w:t>
      </w:r>
      <w:proofErr w:type="spellStart"/>
      <w:r w:rsidRPr="00B473AA">
        <w:rPr>
          <w:rFonts w:ascii="Montserrat" w:eastAsia="Times New Roman" w:hAnsi="Montserrat" w:cs="Arial"/>
          <w:color w:val="135666"/>
          <w:lang w:val="x-none" w:eastAsia="x-none"/>
        </w:rPr>
        <w:t>breaks</w:t>
      </w:r>
      <w:proofErr w:type="spellEnd"/>
      <w:r w:rsidRPr="00B473AA">
        <w:rPr>
          <w:rFonts w:ascii="Montserrat" w:eastAsia="Times New Roman" w:hAnsi="Montserrat" w:cs="Arial"/>
          <w:color w:val="135666"/>
          <w:lang w:val="x-none" w:eastAsia="x-none"/>
        </w:rPr>
        <w:t xml:space="preserve"> in DNA </w:t>
      </w:r>
      <w:proofErr w:type="spellStart"/>
      <w:r w:rsidRPr="00B473AA">
        <w:rPr>
          <w:rFonts w:ascii="Montserrat" w:eastAsia="Times New Roman" w:hAnsi="Montserrat" w:cs="Arial"/>
          <w:color w:val="135666"/>
          <w:lang w:val="x-none" w:eastAsia="x-none"/>
        </w:rPr>
        <w:t>by</w:t>
      </w:r>
      <w:proofErr w:type="spellEnd"/>
      <w:r w:rsidRPr="00B473AA">
        <w:rPr>
          <w:rFonts w:ascii="Montserrat" w:eastAsia="Times New Roman" w:hAnsi="Montserrat" w:cs="Arial"/>
          <w:color w:val="135666"/>
          <w:lang w:val="x-none" w:eastAsia="x-none"/>
        </w:rPr>
        <w:t xml:space="preserve"> hydrogen </w:t>
      </w:r>
      <w:proofErr w:type="spellStart"/>
      <w:r w:rsidRPr="00B473AA">
        <w:rPr>
          <w:rFonts w:ascii="Montserrat" w:eastAsia="Times New Roman" w:hAnsi="Montserrat" w:cs="Arial"/>
          <w:color w:val="135666"/>
          <w:lang w:val="x-none" w:eastAsia="x-none"/>
        </w:rPr>
        <w:t>peroxide</w:t>
      </w:r>
      <w:proofErr w:type="spellEnd"/>
      <w:r w:rsidRPr="00B473AA">
        <w:rPr>
          <w:rFonts w:ascii="Montserrat" w:eastAsia="Times New Roman" w:hAnsi="Montserrat" w:cs="Arial"/>
          <w:color w:val="135666"/>
          <w:lang w:val="x-none" w:eastAsia="x-none"/>
        </w:rPr>
        <w:t xml:space="preserve"> </w:t>
      </w:r>
      <w:proofErr w:type="spellStart"/>
      <w:r w:rsidRPr="00B473AA">
        <w:rPr>
          <w:rFonts w:ascii="Montserrat" w:eastAsia="Times New Roman" w:hAnsi="Montserrat" w:cs="Arial"/>
          <w:color w:val="135666"/>
          <w:lang w:val="x-none" w:eastAsia="x-none"/>
        </w:rPr>
        <w:t>is</w:t>
      </w:r>
      <w:proofErr w:type="spellEnd"/>
      <w:r w:rsidRPr="00B473AA">
        <w:rPr>
          <w:rFonts w:ascii="Montserrat" w:eastAsia="Times New Roman" w:hAnsi="Montserrat" w:cs="Arial"/>
          <w:color w:val="135666"/>
          <w:lang w:val="x-none" w:eastAsia="x-none"/>
        </w:rPr>
        <w:t xml:space="preserve"> </w:t>
      </w:r>
      <w:proofErr w:type="spellStart"/>
      <w:r w:rsidRPr="00B473AA">
        <w:rPr>
          <w:rFonts w:ascii="Montserrat" w:eastAsia="Times New Roman" w:hAnsi="Montserrat" w:cs="Arial"/>
          <w:color w:val="135666"/>
          <w:lang w:val="x-none" w:eastAsia="x-none"/>
        </w:rPr>
        <w:t>mediated</w:t>
      </w:r>
      <w:proofErr w:type="spellEnd"/>
      <w:r w:rsidRPr="00B473AA">
        <w:rPr>
          <w:rFonts w:ascii="Montserrat" w:eastAsia="Times New Roman" w:hAnsi="Montserrat" w:cs="Arial"/>
          <w:color w:val="135666"/>
          <w:lang w:val="x-none" w:eastAsia="x-none"/>
        </w:rPr>
        <w:t xml:space="preserve"> </w:t>
      </w:r>
      <w:proofErr w:type="spellStart"/>
      <w:r w:rsidRPr="00B473AA">
        <w:rPr>
          <w:rFonts w:ascii="Montserrat" w:eastAsia="Times New Roman" w:hAnsi="Montserrat" w:cs="Arial"/>
          <w:color w:val="135666"/>
          <w:lang w:val="x-none" w:eastAsia="x-none"/>
        </w:rPr>
        <w:t>by</w:t>
      </w:r>
      <w:proofErr w:type="spellEnd"/>
      <w:r w:rsidRPr="00B473AA">
        <w:rPr>
          <w:rFonts w:ascii="Montserrat" w:eastAsia="Times New Roman" w:hAnsi="Montserrat" w:cs="Arial"/>
          <w:color w:val="135666"/>
          <w:lang w:val="x-none" w:eastAsia="x-none"/>
        </w:rPr>
        <w:t xml:space="preserve"> </w:t>
      </w:r>
      <w:proofErr w:type="spellStart"/>
      <w:r w:rsidRPr="00B473AA">
        <w:rPr>
          <w:rFonts w:ascii="Montserrat" w:eastAsia="Times New Roman" w:hAnsi="Montserrat" w:cs="Arial"/>
          <w:color w:val="135666"/>
          <w:lang w:val="x-none" w:eastAsia="x-none"/>
        </w:rPr>
        <w:t>the</w:t>
      </w:r>
      <w:proofErr w:type="spellEnd"/>
      <w:r w:rsidRPr="00B473AA">
        <w:rPr>
          <w:rFonts w:ascii="Montserrat" w:eastAsia="Times New Roman" w:hAnsi="Montserrat" w:cs="Arial"/>
          <w:color w:val="135666"/>
          <w:lang w:val="x-none" w:eastAsia="x-none"/>
        </w:rPr>
        <w:t xml:space="preserve"> Haber-</w:t>
      </w:r>
      <w:proofErr w:type="spellStart"/>
      <w:r w:rsidRPr="00B473AA">
        <w:rPr>
          <w:rFonts w:ascii="Montserrat" w:eastAsia="Times New Roman" w:hAnsi="Montserrat" w:cs="Arial"/>
          <w:color w:val="135666"/>
          <w:lang w:val="x-none" w:eastAsia="x-none"/>
        </w:rPr>
        <w:t>Weiss</w:t>
      </w:r>
      <w:proofErr w:type="spellEnd"/>
      <w:r w:rsidRPr="00B473AA">
        <w:rPr>
          <w:rFonts w:ascii="Montserrat" w:eastAsia="Times New Roman" w:hAnsi="Montserrat" w:cs="Arial"/>
          <w:color w:val="135666"/>
          <w:lang w:val="x-none" w:eastAsia="x-none"/>
        </w:rPr>
        <w:t xml:space="preserve"> </w:t>
      </w:r>
      <w:proofErr w:type="spellStart"/>
      <w:r w:rsidRPr="00B473AA">
        <w:rPr>
          <w:rFonts w:ascii="Montserrat" w:eastAsia="Times New Roman" w:hAnsi="Montserrat" w:cs="Arial"/>
          <w:color w:val="135666"/>
          <w:lang w:val="x-none" w:eastAsia="x-none"/>
        </w:rPr>
        <w:t>reaction</w:t>
      </w:r>
      <w:proofErr w:type="spellEnd"/>
      <w:r w:rsidRPr="00B473AA">
        <w:rPr>
          <w:rFonts w:ascii="Montserrat" w:eastAsia="Times New Roman" w:hAnsi="Montserrat" w:cs="Arial"/>
          <w:color w:val="135666"/>
          <w:lang w:val="x-none" w:eastAsia="x-none"/>
        </w:rPr>
        <w:t xml:space="preserve">; Mello Filho AC, Meneghini R., </w:t>
      </w:r>
      <w:proofErr w:type="spellStart"/>
      <w:r w:rsidRPr="00B473AA">
        <w:rPr>
          <w:rFonts w:ascii="Montserrat" w:eastAsia="Times New Roman" w:hAnsi="Montserrat" w:cs="Arial"/>
          <w:color w:val="135666"/>
          <w:lang w:val="x-none" w:eastAsia="x-none"/>
        </w:rPr>
        <w:t>Biochim</w:t>
      </w:r>
      <w:proofErr w:type="spellEnd"/>
      <w:r w:rsidRPr="00B473AA">
        <w:rPr>
          <w:rFonts w:ascii="Montserrat" w:eastAsia="Times New Roman" w:hAnsi="Montserrat" w:cs="Arial"/>
          <w:color w:val="135666"/>
          <w:lang w:val="x-none" w:eastAsia="x-none"/>
        </w:rPr>
        <w:t xml:space="preserve"> </w:t>
      </w:r>
      <w:proofErr w:type="spellStart"/>
      <w:r w:rsidRPr="00B473AA">
        <w:rPr>
          <w:rFonts w:ascii="Montserrat" w:eastAsia="Times New Roman" w:hAnsi="Montserrat" w:cs="Arial"/>
          <w:color w:val="135666"/>
          <w:lang w:val="x-none" w:eastAsia="x-none"/>
        </w:rPr>
        <w:t>Biophys</w:t>
      </w:r>
      <w:proofErr w:type="spellEnd"/>
      <w:r w:rsidRPr="00B473AA">
        <w:rPr>
          <w:rFonts w:ascii="Montserrat" w:eastAsia="Times New Roman" w:hAnsi="Montserrat" w:cs="Arial"/>
          <w:color w:val="135666"/>
          <w:lang w:val="x-none" w:eastAsia="x-none"/>
        </w:rPr>
        <w:t xml:space="preserve"> Acta. 1984 Feb 24; 781(1-2):56-63"). Dies ist im modernen Comte-Assay anschaulich nachweisbar.</w:t>
      </w:r>
    </w:p>
    <w:p w14:paraId="75778FDC" w14:textId="77777777" w:rsidR="00BD2C83" w:rsidRPr="00B473AA" w:rsidRDefault="00BD2C83"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2DB42DEE"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eastAsia="Times New Roman" w:hAnsi="Montserrat" w:cs="Arial"/>
          <w:color w:val="135666"/>
          <w:lang w:val="x-none" w:eastAsia="x-none"/>
        </w:rPr>
        <w:t xml:space="preserve">Diese DNA-Brüche führen zur Abwanderung von </w:t>
      </w:r>
      <w:proofErr w:type="spellStart"/>
      <w:r w:rsidRPr="00B473AA">
        <w:rPr>
          <w:rFonts w:ascii="Montserrat" w:eastAsia="Times New Roman" w:hAnsi="Montserrat" w:cs="Arial"/>
          <w:color w:val="135666"/>
          <w:lang w:val="x-none" w:eastAsia="x-none"/>
        </w:rPr>
        <w:t>Sirtuinen</w:t>
      </w:r>
      <w:proofErr w:type="spellEnd"/>
      <w:r w:rsidRPr="00B473AA">
        <w:rPr>
          <w:rFonts w:ascii="Montserrat" w:eastAsia="Times New Roman" w:hAnsi="Montserrat" w:cs="Arial"/>
          <w:color w:val="135666"/>
          <w:lang w:val="x-none" w:eastAsia="x-none"/>
        </w:rPr>
        <w:t xml:space="preserve"> (zu Reparaturzwecken) mit dem Effekt, dass sich die Zellalterung beschleunigt. Da viele dieser </w:t>
      </w:r>
      <w:proofErr w:type="spellStart"/>
      <w:r w:rsidRPr="00B473AA">
        <w:rPr>
          <w:rFonts w:ascii="Montserrat" w:eastAsia="Times New Roman" w:hAnsi="Montserrat" w:cs="Arial"/>
          <w:color w:val="135666"/>
          <w:lang w:val="x-none" w:eastAsia="x-none"/>
        </w:rPr>
        <w:t>Sirtuine</w:t>
      </w:r>
      <w:proofErr w:type="spellEnd"/>
      <w:r w:rsidRPr="00B473AA">
        <w:rPr>
          <w:rFonts w:ascii="Montserrat" w:eastAsia="Times New Roman" w:hAnsi="Montserrat" w:cs="Arial"/>
          <w:color w:val="135666"/>
          <w:lang w:val="x-none" w:eastAsia="x-none"/>
        </w:rPr>
        <w:t xml:space="preserve"> ihren Weg zurück zu ihrer Ursprungsstelle nicht mehr finden, kommt es zu einer progredienten Zellalterung. Quellen: Forschungsergebnisse von Prof. Sinclair und anderen </w:t>
      </w:r>
    </w:p>
    <w:p w14:paraId="7452D189" w14:textId="77777777" w:rsidR="00325355"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7CF308C9" w14:textId="77777777" w:rsidR="00BD2C83" w:rsidRPr="00B473AA" w:rsidRDefault="00BD2C83"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283D58F3"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548A3692" w14:textId="7A0A9219"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lastRenderedPageBreak/>
        <w:t>Infusionstherapie w</w:t>
      </w:r>
      <w:r w:rsidRPr="00B473AA">
        <w:rPr>
          <w:rFonts w:ascii="Montserrat" w:eastAsia="Times New Roman" w:hAnsi="Montserrat" w:cs="Arial"/>
          <w:b/>
          <w:bCs/>
          <w:color w:val="135666"/>
          <w:u w:val="single"/>
          <w:lang w:val="x-none" w:eastAsia="x-none"/>
        </w:rPr>
        <w:t xml:space="preserve">ährend der </w:t>
      </w:r>
      <w:r w:rsidR="001B6CB0" w:rsidRPr="00B473AA">
        <w:rPr>
          <w:rFonts w:ascii="Montserrat" w:hAnsi="Montserrat" w:cs="Arial"/>
          <w:b/>
          <w:bCs/>
          <w:color w:val="135666"/>
          <w:highlight w:val="magenta"/>
          <w:u w:val="single"/>
          <w:lang w:eastAsia="x-none"/>
        </w:rPr>
        <w:t>therapeutischen Apherese / Toxopherese</w:t>
      </w:r>
      <w:r w:rsidR="001B6CB0" w:rsidRPr="00B473AA">
        <w:rPr>
          <w:rFonts w:ascii="Montserrat" w:eastAsia="Times New Roman" w:hAnsi="Montserrat" w:cs="Arial"/>
          <w:b/>
          <w:bCs/>
          <w:color w:val="135666"/>
          <w:position w:val="6"/>
          <w:highlight w:val="magenta"/>
          <w:u w:val="single"/>
          <w:lang w:eastAsia="x-none"/>
        </w:rPr>
        <w:t>®</w:t>
      </w:r>
      <w:r w:rsidRPr="00B473AA">
        <w:rPr>
          <w:rFonts w:ascii="Montserrat" w:eastAsia="Times New Roman" w:hAnsi="Montserrat" w:cs="Arial"/>
          <w:b/>
          <w:bCs/>
          <w:color w:val="135666"/>
          <w:highlight w:val="magenta"/>
          <w:u w:val="single"/>
          <w:lang w:val="x-none" w:eastAsia="x-none"/>
        </w:rPr>
        <w:t>:</w:t>
      </w:r>
    </w:p>
    <w:p w14:paraId="555C6624"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54C74A85"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color w:val="135666"/>
          <w:lang w:val="x-none" w:eastAsia="x-none"/>
        </w:rPr>
        <w:t>NaCl 0,9% zur Volumengabe</w:t>
      </w:r>
    </w:p>
    <w:p w14:paraId="7C82A92E"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3BA133E3"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 xml:space="preserve">Die </w:t>
      </w:r>
      <w:proofErr w:type="spellStart"/>
      <w:r w:rsidRPr="00B473AA">
        <w:rPr>
          <w:rFonts w:ascii="Montserrat" w:hAnsi="Montserrat" w:cs="Arial"/>
          <w:color w:val="135666"/>
          <w:lang w:val="x-none" w:eastAsia="x-none"/>
        </w:rPr>
        <w:t>Infusionsadditiva</w:t>
      </w:r>
      <w:proofErr w:type="spellEnd"/>
      <w:r w:rsidRPr="00B473AA">
        <w:rPr>
          <w:rFonts w:ascii="Montserrat" w:hAnsi="Montserrat" w:cs="Arial"/>
          <w:color w:val="135666"/>
          <w:lang w:val="x-none" w:eastAsia="x-none"/>
        </w:rPr>
        <w:t xml:space="preserve"> auf orthomolekularer und komplexhom</w:t>
      </w:r>
      <w:r w:rsidRPr="00B473AA">
        <w:rPr>
          <w:rFonts w:ascii="Montserrat" w:eastAsia="Times New Roman" w:hAnsi="Montserrat" w:cs="Arial"/>
          <w:color w:val="135666"/>
          <w:lang w:val="x-none" w:eastAsia="x-none"/>
        </w:rPr>
        <w:t>öopathischer Basis wurden komplikationslos vertragen.</w:t>
      </w:r>
    </w:p>
    <w:p w14:paraId="32504DC7"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4DC49B9E"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0A92CB74"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 xml:space="preserve">Venenpunktion </w:t>
      </w:r>
      <w:proofErr w:type="spellStart"/>
      <w:r w:rsidRPr="00B473AA">
        <w:rPr>
          <w:rFonts w:ascii="Montserrat" w:hAnsi="Montserrat" w:cs="Arial"/>
          <w:b/>
          <w:bCs/>
          <w:color w:val="135666"/>
          <w:u w:val="single"/>
          <w:lang w:val="x-none" w:eastAsia="x-none"/>
        </w:rPr>
        <w:t>bds</w:t>
      </w:r>
      <w:proofErr w:type="spellEnd"/>
      <w:r w:rsidRPr="00B473AA">
        <w:rPr>
          <w:rFonts w:ascii="Montserrat" w:hAnsi="Montserrat" w:cs="Arial"/>
          <w:b/>
          <w:bCs/>
          <w:color w:val="135666"/>
          <w:u w:val="single"/>
          <w:lang w:val="x-none" w:eastAsia="x-none"/>
        </w:rPr>
        <w:t>.:</w:t>
      </w:r>
      <w:r w:rsidRPr="00B473AA">
        <w:rPr>
          <w:rFonts w:ascii="Montserrat" w:hAnsi="Montserrat" w:cs="Arial"/>
          <w:color w:val="135666"/>
          <w:lang w:val="x-none" w:eastAsia="x-none"/>
        </w:rPr>
        <w:t xml:space="preserve"> o.B</w:t>
      </w:r>
    </w:p>
    <w:p w14:paraId="3C93C675"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0C313B84"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57C4F598"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Behandlungsverlauf</w:t>
      </w:r>
      <w:r w:rsidRPr="00B473AA">
        <w:rPr>
          <w:rFonts w:ascii="Montserrat" w:hAnsi="Montserrat" w:cs="Arial"/>
          <w:b/>
          <w:bCs/>
          <w:color w:val="135666"/>
          <w:highlight w:val="magenta"/>
          <w:u w:val="single"/>
          <w:lang w:val="x-none" w:eastAsia="x-none"/>
        </w:rPr>
        <w:t>:</w:t>
      </w:r>
      <w:r w:rsidRPr="00B473AA">
        <w:rPr>
          <w:rFonts w:ascii="Montserrat" w:hAnsi="Montserrat" w:cs="Arial"/>
          <w:color w:val="135666"/>
          <w:highlight w:val="magenta"/>
          <w:lang w:val="x-none" w:eastAsia="x-none"/>
        </w:rPr>
        <w:t xml:space="preserve"> komplikationslos</w:t>
      </w:r>
    </w:p>
    <w:p w14:paraId="3A0E9C5D"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5D9174F3"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30406DF6"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r w:rsidRPr="00B473AA">
        <w:rPr>
          <w:rFonts w:ascii="Montserrat" w:hAnsi="Montserrat" w:cs="Arial"/>
          <w:b/>
          <w:bCs/>
          <w:color w:val="135666"/>
          <w:u w:val="single"/>
          <w:lang w:val="x-none" w:eastAsia="x-none"/>
        </w:rPr>
        <w:t>Therapieempfehlungen:</w:t>
      </w:r>
    </w:p>
    <w:p w14:paraId="32C74E7C"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231AB5E7"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highlight w:val="magenta"/>
          <w:lang w:val="x-none" w:eastAsia="x-none"/>
        </w:rPr>
      </w:pPr>
      <w:r w:rsidRPr="00B473AA">
        <w:rPr>
          <w:rFonts w:ascii="Montserrat" w:hAnsi="Montserrat" w:cs="Arial"/>
          <w:color w:val="135666"/>
          <w:highlight w:val="magenta"/>
          <w:lang w:val="x-none" w:eastAsia="x-none"/>
        </w:rPr>
        <w:t>Diese erhalten Sie per Rezept und Einnahmeverordnung. Sie sind immer individuell auf Ihren Zustand und die Messergebnisse / Laborwerte abgestimmt.</w:t>
      </w:r>
    </w:p>
    <w:p w14:paraId="52C12400"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highlight w:val="magenta"/>
          <w:lang w:val="x-none" w:eastAsia="x-none"/>
        </w:rPr>
      </w:pPr>
    </w:p>
    <w:p w14:paraId="568EFFF8"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highlight w:val="magenta"/>
          <w:lang w:val="x-none" w:eastAsia="x-none"/>
        </w:rPr>
      </w:pPr>
      <w:r w:rsidRPr="00B473AA">
        <w:rPr>
          <w:rFonts w:ascii="Montserrat" w:hAnsi="Montserrat" w:cs="Arial"/>
          <w:color w:val="135666"/>
          <w:highlight w:val="magenta"/>
          <w:lang w:val="x-none" w:eastAsia="x-none"/>
        </w:rPr>
        <w:t xml:space="preserve">1) Weitere Apheresen aufgrund der hohen CICs sowie der toxischen Pestizid- und </w:t>
      </w:r>
    </w:p>
    <w:p w14:paraId="46FEC37B"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highlight w:val="magenta"/>
          <w:lang w:val="x-none" w:eastAsia="x-none"/>
        </w:rPr>
      </w:pPr>
      <w:r w:rsidRPr="00B473AA">
        <w:rPr>
          <w:rFonts w:ascii="Montserrat" w:hAnsi="Montserrat" w:cs="Arial"/>
          <w:color w:val="135666"/>
          <w:highlight w:val="magenta"/>
          <w:lang w:val="x-none" w:eastAsia="x-none"/>
        </w:rPr>
        <w:t xml:space="preserve">    Schadmetallbelastung angezeigt. Wir empfehlen eine weitere im Abstand von 4-8 Wochen.</w:t>
      </w:r>
    </w:p>
    <w:p w14:paraId="369E1F39"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highlight w:val="magenta"/>
          <w:lang w:val="x-none" w:eastAsia="x-none"/>
        </w:rPr>
      </w:pPr>
      <w:r w:rsidRPr="00B473AA">
        <w:rPr>
          <w:rFonts w:ascii="Montserrat" w:hAnsi="Montserrat" w:cs="Arial"/>
          <w:color w:val="135666"/>
          <w:highlight w:val="magenta"/>
          <w:lang w:val="x-none" w:eastAsia="x-none"/>
        </w:rPr>
        <w:t>2) Kontrolle CICs an n</w:t>
      </w:r>
      <w:r w:rsidRPr="00B473AA">
        <w:rPr>
          <w:rFonts w:ascii="Montserrat" w:eastAsia="Times New Roman" w:hAnsi="Montserrat" w:cs="Arial"/>
          <w:color w:val="135666"/>
          <w:highlight w:val="magenta"/>
          <w:lang w:val="x-none" w:eastAsia="x-none"/>
        </w:rPr>
        <w:t>ächster Apherese.</w:t>
      </w:r>
    </w:p>
    <w:p w14:paraId="6B20A9DE" w14:textId="3F5E04C4"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highlight w:val="magenta"/>
          <w:lang w:val="x-none" w:eastAsia="x-none"/>
        </w:rPr>
      </w:pPr>
      <w:r w:rsidRPr="00B473AA">
        <w:rPr>
          <w:rFonts w:ascii="Montserrat" w:eastAsia="Times New Roman" w:hAnsi="Montserrat" w:cs="Arial"/>
          <w:color w:val="135666"/>
          <w:highlight w:val="magenta"/>
          <w:lang w:val="x-none" w:eastAsia="x-none"/>
        </w:rPr>
        <w:t xml:space="preserve">3) Laborkontrolle wird von Dr. </w:t>
      </w:r>
      <w:r w:rsidR="00055272" w:rsidRPr="00B473AA">
        <w:rPr>
          <w:rFonts w:ascii="Montserrat" w:eastAsia="Times New Roman" w:hAnsi="Montserrat" w:cs="Arial"/>
          <w:color w:val="135666"/>
          <w:highlight w:val="magenta"/>
          <w:lang w:eastAsia="x-none"/>
        </w:rPr>
        <w:t>XXX</w:t>
      </w:r>
      <w:r w:rsidRPr="00B473AA">
        <w:rPr>
          <w:rFonts w:ascii="Montserrat" w:eastAsia="Times New Roman" w:hAnsi="Montserrat" w:cs="Arial"/>
          <w:color w:val="135666"/>
          <w:highlight w:val="magenta"/>
          <w:lang w:val="x-none" w:eastAsia="x-none"/>
        </w:rPr>
        <w:t xml:space="preserve"> individuell angeordnet und Ihnen vorher mitgeteilt. </w:t>
      </w:r>
    </w:p>
    <w:p w14:paraId="2625487C" w14:textId="14E9A9E6"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highlight w:val="magenta"/>
          <w:lang w:val="x-none" w:eastAsia="x-none"/>
        </w:rPr>
      </w:pPr>
      <w:r w:rsidRPr="00B473AA">
        <w:rPr>
          <w:rFonts w:ascii="Montserrat" w:eastAsia="Times New Roman" w:hAnsi="Montserrat" w:cs="Arial"/>
          <w:color w:val="135666"/>
          <w:highlight w:val="magenta"/>
          <w:lang w:val="x-none" w:eastAsia="x-none"/>
        </w:rPr>
        <w:t>4) Einnahme der verordneten Präparate nach beiliegendem Plan</w:t>
      </w:r>
    </w:p>
    <w:p w14:paraId="7F5A777D"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highlight w:val="magenta"/>
          <w:lang w:val="x-none" w:eastAsia="x-none"/>
        </w:rPr>
      </w:pPr>
      <w:r w:rsidRPr="00B473AA">
        <w:rPr>
          <w:rFonts w:ascii="Montserrat" w:eastAsia="Times New Roman" w:hAnsi="Montserrat" w:cs="Arial"/>
          <w:color w:val="135666"/>
          <w:highlight w:val="magenta"/>
          <w:lang w:val="x-none" w:eastAsia="x-none"/>
        </w:rPr>
        <w:t xml:space="preserve">5) </w:t>
      </w:r>
      <w:proofErr w:type="spellStart"/>
      <w:r w:rsidRPr="00B473AA">
        <w:rPr>
          <w:rFonts w:ascii="Montserrat" w:eastAsia="Times New Roman" w:hAnsi="Montserrat" w:cs="Arial"/>
          <w:color w:val="135666"/>
          <w:highlight w:val="magenta"/>
          <w:lang w:val="x-none" w:eastAsia="x-none"/>
        </w:rPr>
        <w:t>Zahnarztkonsil</w:t>
      </w:r>
      <w:proofErr w:type="spellEnd"/>
      <w:r w:rsidRPr="00B473AA">
        <w:rPr>
          <w:rFonts w:ascii="Montserrat" w:eastAsia="Times New Roman" w:hAnsi="Montserrat" w:cs="Arial"/>
          <w:color w:val="135666"/>
          <w:highlight w:val="magenta"/>
          <w:lang w:val="x-none" w:eastAsia="x-none"/>
        </w:rPr>
        <w:t xml:space="preserve"> wegen erhöhter RANTES (Frage aktive Zahntaschen? Kieferostitis?)</w:t>
      </w:r>
    </w:p>
    <w:p w14:paraId="4CA6EA53"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highlight w:val="magenta"/>
          <w:lang w:val="x-none" w:eastAsia="x-none"/>
        </w:rPr>
      </w:pPr>
    </w:p>
    <w:p w14:paraId="3A784BFE"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eastAsia="de-DE"/>
        </w:rPr>
      </w:pPr>
      <w:r w:rsidRPr="00B473AA">
        <w:rPr>
          <w:rFonts w:ascii="Montserrat" w:hAnsi="Montserrat" w:cs="Arial"/>
          <w:color w:val="135666"/>
          <w:highlight w:val="magenta"/>
          <w:lang w:eastAsia="de-DE"/>
        </w:rPr>
        <w:t>Alle Pr</w:t>
      </w:r>
      <w:r w:rsidRPr="00B473AA">
        <w:rPr>
          <w:rFonts w:ascii="Montserrat" w:eastAsia="Times New Roman" w:hAnsi="Montserrat" w:cs="Arial"/>
          <w:color w:val="135666"/>
          <w:highlight w:val="magenta"/>
          <w:lang w:eastAsia="de-DE"/>
        </w:rPr>
        <w:t>äparate MINDESTENS bis zur nächsten Laborkontrolle einnehmen. Wird etwas kürzere Zeit benötigt schreibe ich es explizit dazu!</w:t>
      </w:r>
    </w:p>
    <w:p w14:paraId="340820F2"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36E4BD4E"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003F2791" w14:textId="77777777" w:rsidR="00325355" w:rsidRPr="00B473AA" w:rsidRDefault="00325355" w:rsidP="00325355">
      <w:pPr>
        <w:widowControl w:val="0"/>
        <w:autoSpaceDE w:val="0"/>
        <w:autoSpaceDN w:val="0"/>
        <w:adjustRightInd w:val="0"/>
        <w:spacing w:after="0" w:line="264" w:lineRule="auto"/>
        <w:rPr>
          <w:rFonts w:ascii="Montserrat" w:hAnsi="Montserrat" w:cs="Arial"/>
          <w:color w:val="135666"/>
          <w:lang w:val="x-none" w:eastAsia="x-none"/>
        </w:rPr>
      </w:pPr>
    </w:p>
    <w:p w14:paraId="11DD8B11"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r w:rsidRPr="00B473AA">
        <w:rPr>
          <w:rFonts w:ascii="Montserrat" w:hAnsi="Montserrat" w:cs="Arial"/>
          <w:color w:val="135666"/>
          <w:lang w:val="x-none" w:eastAsia="x-none"/>
        </w:rPr>
        <w:t>Mit freundlichen Gr</w:t>
      </w:r>
      <w:r w:rsidRPr="00B473AA">
        <w:rPr>
          <w:rFonts w:ascii="Montserrat" w:eastAsia="Times New Roman" w:hAnsi="Montserrat" w:cs="Arial"/>
          <w:color w:val="135666"/>
          <w:lang w:val="x-none" w:eastAsia="x-none"/>
        </w:rPr>
        <w:t>üßen</w:t>
      </w:r>
    </w:p>
    <w:p w14:paraId="7B2CD727"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0246E26C" w14:textId="77777777" w:rsidR="00325355" w:rsidRPr="00B473AA" w:rsidRDefault="00325355" w:rsidP="00325355">
      <w:pPr>
        <w:widowControl w:val="0"/>
        <w:autoSpaceDE w:val="0"/>
        <w:autoSpaceDN w:val="0"/>
        <w:adjustRightInd w:val="0"/>
        <w:spacing w:after="0" w:line="264" w:lineRule="auto"/>
        <w:rPr>
          <w:rFonts w:ascii="Montserrat" w:eastAsia="Times New Roman" w:hAnsi="Montserrat" w:cs="Arial"/>
          <w:color w:val="135666"/>
          <w:lang w:val="x-none" w:eastAsia="x-none"/>
        </w:rPr>
      </w:pPr>
    </w:p>
    <w:p w14:paraId="227D9BA9" w14:textId="3CAE2231" w:rsidR="00B04470" w:rsidRPr="00B473AA" w:rsidRDefault="00055272">
      <w:pPr>
        <w:rPr>
          <w:rFonts w:ascii="Montserrat" w:hAnsi="Montserrat"/>
          <w:color w:val="135666"/>
        </w:rPr>
      </w:pPr>
      <w:r w:rsidRPr="00B473AA">
        <w:rPr>
          <w:rFonts w:ascii="Montserrat" w:eastAsia="Times New Roman" w:hAnsi="Montserrat" w:cs="Arial"/>
          <w:color w:val="135666"/>
          <w:highlight w:val="magenta"/>
          <w:lang w:eastAsia="x-none"/>
        </w:rPr>
        <w:t>&lt;behandelnder Arzt / Praxis&gt;</w:t>
      </w:r>
    </w:p>
    <w:sectPr w:rsidR="00B04470" w:rsidRPr="00B473AA" w:rsidSect="009F1AB7">
      <w:headerReference w:type="default" r:id="rId7"/>
      <w:footerReference w:type="default" r:id="rId8"/>
      <w:pgSz w:w="11907" w:h="16840"/>
      <w:pgMar w:top="1134" w:right="1134" w:bottom="1134" w:left="1247"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87CDB" w14:textId="77777777" w:rsidR="0024689A" w:rsidRDefault="0024689A">
      <w:pPr>
        <w:spacing w:after="0" w:line="240" w:lineRule="auto"/>
      </w:pPr>
      <w:r>
        <w:separator/>
      </w:r>
    </w:p>
  </w:endnote>
  <w:endnote w:type="continuationSeparator" w:id="0">
    <w:p w14:paraId="3B2D039F" w14:textId="77777777" w:rsidR="0024689A" w:rsidRDefault="00246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4D"/>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28286" w14:textId="6044F8D9" w:rsidR="00A42E91" w:rsidRPr="00F66DC3" w:rsidRDefault="00A42E91" w:rsidP="00A42E91">
    <w:pPr>
      <w:pStyle w:val="Fuzeile"/>
      <w:jc w:val="center"/>
      <w:rPr>
        <w:color w:val="595959" w:themeColor="text1" w:themeTint="A6"/>
      </w:rPr>
    </w:pPr>
    <w:r>
      <w:rPr>
        <w:color w:val="4472C4" w:themeColor="accent1"/>
      </w:rPr>
      <w:tab/>
    </w:r>
    <w:r>
      <w:rPr>
        <w:color w:val="4472C4" w:themeColor="accent1"/>
      </w:rPr>
      <w:tab/>
    </w:r>
    <w:r w:rsidRPr="00F66DC3">
      <w:rPr>
        <w:color w:val="595959" w:themeColor="text1" w:themeTint="A6"/>
      </w:rPr>
      <w:t xml:space="preserve">Seite </w:t>
    </w:r>
    <w:r w:rsidRPr="00F66DC3">
      <w:rPr>
        <w:color w:val="595959" w:themeColor="text1" w:themeTint="A6"/>
      </w:rPr>
      <w:fldChar w:fldCharType="begin"/>
    </w:r>
    <w:r w:rsidRPr="00F66DC3">
      <w:rPr>
        <w:color w:val="595959" w:themeColor="text1" w:themeTint="A6"/>
      </w:rPr>
      <w:instrText>PAGE  \* Arabic  \* MERGEFORMAT</w:instrText>
    </w:r>
    <w:r w:rsidRPr="00F66DC3">
      <w:rPr>
        <w:color w:val="595959" w:themeColor="text1" w:themeTint="A6"/>
      </w:rPr>
      <w:fldChar w:fldCharType="separate"/>
    </w:r>
    <w:r w:rsidRPr="00F66DC3">
      <w:rPr>
        <w:color w:val="595959" w:themeColor="text1" w:themeTint="A6"/>
      </w:rPr>
      <w:t>1</w:t>
    </w:r>
    <w:r w:rsidRPr="00F66DC3">
      <w:rPr>
        <w:color w:val="595959" w:themeColor="text1" w:themeTint="A6"/>
      </w:rPr>
      <w:fldChar w:fldCharType="end"/>
    </w:r>
    <w:r w:rsidRPr="00F66DC3">
      <w:rPr>
        <w:color w:val="595959" w:themeColor="text1" w:themeTint="A6"/>
      </w:rPr>
      <w:t xml:space="preserve"> von </w:t>
    </w:r>
    <w:r w:rsidRPr="00F66DC3">
      <w:rPr>
        <w:color w:val="595959" w:themeColor="text1" w:themeTint="A6"/>
      </w:rPr>
      <w:fldChar w:fldCharType="begin"/>
    </w:r>
    <w:r w:rsidRPr="00F66DC3">
      <w:rPr>
        <w:color w:val="595959" w:themeColor="text1" w:themeTint="A6"/>
      </w:rPr>
      <w:instrText>NUMPAGES \* Arabisch \* MERGEFORMAT</w:instrText>
    </w:r>
    <w:r w:rsidRPr="00F66DC3">
      <w:rPr>
        <w:color w:val="595959" w:themeColor="text1" w:themeTint="A6"/>
      </w:rPr>
      <w:fldChar w:fldCharType="separate"/>
    </w:r>
    <w:r w:rsidRPr="00F66DC3">
      <w:rPr>
        <w:color w:val="595959" w:themeColor="text1" w:themeTint="A6"/>
      </w:rPr>
      <w:t>2</w:t>
    </w:r>
    <w:r w:rsidRPr="00F66DC3">
      <w:rPr>
        <w:color w:val="595959" w:themeColor="text1" w:themeTint="A6"/>
      </w:rPr>
      <w:fldChar w:fldCharType="end"/>
    </w:r>
  </w:p>
  <w:p w14:paraId="3BE6157D" w14:textId="77777777" w:rsidR="00A42E91" w:rsidRPr="00B473AA" w:rsidRDefault="00A42E91" w:rsidP="00A42E91">
    <w:pPr>
      <w:pStyle w:val="Normal"/>
      <w:jc w:val="center"/>
      <w:rPr>
        <w:rFonts w:ascii="Montserrat" w:hAnsi="Montserrat"/>
        <w:b/>
        <w:bCs/>
        <w:color w:val="135666"/>
        <w:sz w:val="16"/>
        <w:szCs w:val="16"/>
        <w:lang w:val="de-DE" w:eastAsia="x-none"/>
      </w:rPr>
    </w:pPr>
    <w:r w:rsidRPr="00B473AA">
      <w:rPr>
        <w:rFonts w:ascii="Montserrat" w:hAnsi="Montserrat"/>
        <w:b/>
        <w:bCs/>
        <w:color w:val="135666"/>
        <w:sz w:val="18"/>
        <w:szCs w:val="18"/>
        <w:highlight w:val="magenta"/>
        <w:lang w:val="de-DE" w:eastAsia="x-none"/>
      </w:rPr>
      <w:t>&lt;Kontaktdaten / Bankverbindung&gt;</w:t>
    </w:r>
  </w:p>
  <w:p w14:paraId="289CE922" w14:textId="77777777" w:rsidR="00897D1B" w:rsidRPr="00A42E91" w:rsidRDefault="00897D1B" w:rsidP="00A42E9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418B2" w14:textId="77777777" w:rsidR="0024689A" w:rsidRDefault="0024689A">
      <w:pPr>
        <w:spacing w:after="0" w:line="240" w:lineRule="auto"/>
      </w:pPr>
      <w:r>
        <w:separator/>
      </w:r>
    </w:p>
  </w:footnote>
  <w:footnote w:type="continuationSeparator" w:id="0">
    <w:p w14:paraId="234DD4E3" w14:textId="77777777" w:rsidR="0024689A" w:rsidRDefault="00246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F769" w14:textId="52EDD012" w:rsidR="00A42E91" w:rsidRPr="00B473AA" w:rsidRDefault="00A42E91" w:rsidP="00A42E91">
    <w:pPr>
      <w:pStyle w:val="Normal"/>
      <w:rPr>
        <w:rFonts w:ascii="Montserrat" w:hAnsi="Montserrat"/>
        <w:color w:val="135666"/>
        <w:lang w:val="de-DE" w:eastAsia="x-none"/>
      </w:rPr>
    </w:pPr>
    <w:r w:rsidRPr="00B473AA">
      <w:rPr>
        <w:rFonts w:ascii="Montserrat" w:hAnsi="Montserrat"/>
        <w:b/>
        <w:bCs/>
        <w:color w:val="135666"/>
        <w:sz w:val="44"/>
        <w:szCs w:val="44"/>
        <w:highlight w:val="magenta"/>
        <w:lang w:val="de-DE" w:eastAsia="x-none"/>
      </w:rPr>
      <w:t>&lt;Praxis / Arzt&gt;</w:t>
    </w:r>
    <w:r w:rsidR="00B473AA">
      <w:rPr>
        <w:rFonts w:ascii="Montserrat" w:hAnsi="Montserrat"/>
        <w:b/>
        <w:bCs/>
        <w:color w:val="135666"/>
        <w:sz w:val="44"/>
        <w:szCs w:val="44"/>
        <w:lang w:val="de-DE" w:eastAsia="x-none"/>
      </w:rPr>
      <w:tab/>
    </w:r>
    <w:r w:rsidR="00B473AA">
      <w:rPr>
        <w:rFonts w:ascii="Montserrat" w:hAnsi="Montserrat"/>
        <w:b/>
        <w:bCs/>
        <w:color w:val="135666"/>
        <w:sz w:val="44"/>
        <w:szCs w:val="44"/>
        <w:lang w:val="de-DE" w:eastAsia="x-none"/>
      </w:rPr>
      <w:tab/>
    </w:r>
    <w:r w:rsidR="00B473AA">
      <w:rPr>
        <w:rFonts w:ascii="Montserrat" w:hAnsi="Montserrat"/>
        <w:b/>
        <w:bCs/>
        <w:color w:val="135666"/>
        <w:sz w:val="44"/>
        <w:szCs w:val="44"/>
        <w:lang w:val="de-DE" w:eastAsia="x-none"/>
      </w:rPr>
      <w:tab/>
    </w:r>
    <w:r w:rsidR="00B473AA">
      <w:rPr>
        <w:rFonts w:ascii="Montserrat" w:hAnsi="Montserrat"/>
        <w:b/>
        <w:bCs/>
        <w:color w:val="135666"/>
        <w:sz w:val="44"/>
        <w:szCs w:val="44"/>
        <w:lang w:val="de-DE" w:eastAsia="x-none"/>
      </w:rPr>
      <w:tab/>
    </w:r>
    <w:r w:rsidR="00B473AA">
      <w:rPr>
        <w:rFonts w:ascii="Montserrat" w:hAnsi="Montserrat"/>
        <w:b/>
        <w:bCs/>
        <w:color w:val="135666"/>
        <w:sz w:val="44"/>
        <w:szCs w:val="44"/>
        <w:lang w:val="de-DE" w:eastAsia="x-none"/>
      </w:rPr>
      <w:tab/>
      <w:t xml:space="preserve">    </w:t>
    </w:r>
    <w:r w:rsidR="00B473AA">
      <w:rPr>
        <w:rFonts w:ascii="Montserrat" w:hAnsi="Montserrat"/>
        <w:noProof/>
        <w:color w:val="135666"/>
        <w:lang w:val="de-DE" w:eastAsia="x-none"/>
      </w:rPr>
      <w:drawing>
        <wp:inline distT="0" distB="0" distL="0" distR="0" wp14:anchorId="28E4E31B" wp14:editId="5C3E4093">
          <wp:extent cx="1600200" cy="415420"/>
          <wp:effectExtent l="0" t="0" r="0" b="3810"/>
          <wp:docPr id="98238654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86546" name="Grafik 982386546"/>
                  <pic:cNvPicPr/>
                </pic:nvPicPr>
                <pic:blipFill>
                  <a:blip r:embed="rId1">
                    <a:extLst>
                      <a:ext uri="{28A0092B-C50C-407E-A947-70E740481C1C}">
                        <a14:useLocalDpi xmlns:a14="http://schemas.microsoft.com/office/drawing/2010/main" val="0"/>
                      </a:ext>
                    </a:extLst>
                  </a:blip>
                  <a:stretch>
                    <a:fillRect/>
                  </a:stretch>
                </pic:blipFill>
                <pic:spPr>
                  <a:xfrm>
                    <a:off x="0" y="0"/>
                    <a:ext cx="1643383" cy="426631"/>
                  </a:xfrm>
                  <a:prstGeom prst="rect">
                    <a:avLst/>
                  </a:prstGeom>
                </pic:spPr>
              </pic:pic>
            </a:graphicData>
          </a:graphic>
        </wp:inline>
      </w:drawing>
    </w:r>
  </w:p>
  <w:p w14:paraId="142E4D51" w14:textId="77777777" w:rsidR="00897D1B" w:rsidRDefault="00325355">
    <w:pPr>
      <w:pStyle w:val="Normal"/>
      <w:jc w:val="center"/>
      <w:rPr>
        <w:color w:val="000000"/>
        <w:sz w:val="16"/>
        <w:szCs w:val="16"/>
        <w:lang w:eastAsia="x-none"/>
      </w:rPr>
    </w:pPr>
    <w:r>
      <w:rPr>
        <w:color w:val="000000"/>
        <w:sz w:val="16"/>
        <w:szCs w:val="16"/>
        <w:lang w:eastAsia="x-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54A25"/>
    <w:multiLevelType w:val="hybridMultilevel"/>
    <w:tmpl w:val="618A79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00F38FA"/>
    <w:multiLevelType w:val="hybridMultilevel"/>
    <w:tmpl w:val="4A8418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9E76136"/>
    <w:multiLevelType w:val="hybridMultilevel"/>
    <w:tmpl w:val="505079FE"/>
    <w:lvl w:ilvl="0" w:tplc="82DCC732">
      <w:numFmt w:val="bullet"/>
      <w:lvlText w:val="-"/>
      <w:lvlJc w:val="left"/>
      <w:pPr>
        <w:ind w:left="1060" w:hanging="700"/>
      </w:pPr>
      <w:rPr>
        <w:rFonts w:ascii="Montserrat" w:eastAsia="Times New Roman" w:hAnsi="Montserra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CF07ABB"/>
    <w:multiLevelType w:val="hybridMultilevel"/>
    <w:tmpl w:val="40E29F7A"/>
    <w:lvl w:ilvl="0" w:tplc="82DCC732">
      <w:numFmt w:val="bullet"/>
      <w:lvlText w:val="-"/>
      <w:lvlJc w:val="left"/>
      <w:pPr>
        <w:ind w:left="1060" w:hanging="700"/>
      </w:pPr>
      <w:rPr>
        <w:rFonts w:ascii="Montserrat" w:eastAsia="Times New Roman" w:hAnsi="Montserrat"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4528841">
    <w:abstractNumId w:val="0"/>
  </w:num>
  <w:num w:numId="2" w16cid:durableId="675115654">
    <w:abstractNumId w:val="2"/>
  </w:num>
  <w:num w:numId="3" w16cid:durableId="1645425029">
    <w:abstractNumId w:val="3"/>
  </w:num>
  <w:num w:numId="4" w16cid:durableId="1064528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55"/>
    <w:rsid w:val="00055272"/>
    <w:rsid w:val="000D733A"/>
    <w:rsid w:val="001B6CB0"/>
    <w:rsid w:val="0024689A"/>
    <w:rsid w:val="002B0F8D"/>
    <w:rsid w:val="00325355"/>
    <w:rsid w:val="0033002F"/>
    <w:rsid w:val="003E3D69"/>
    <w:rsid w:val="00497E90"/>
    <w:rsid w:val="00652AA1"/>
    <w:rsid w:val="007175E9"/>
    <w:rsid w:val="0075653F"/>
    <w:rsid w:val="00897D1B"/>
    <w:rsid w:val="008C1ED5"/>
    <w:rsid w:val="00905FE2"/>
    <w:rsid w:val="00A42E91"/>
    <w:rsid w:val="00AF0842"/>
    <w:rsid w:val="00B04470"/>
    <w:rsid w:val="00B473AA"/>
    <w:rsid w:val="00BB66B9"/>
    <w:rsid w:val="00BD2C83"/>
    <w:rsid w:val="00C063EA"/>
    <w:rsid w:val="00D902EE"/>
    <w:rsid w:val="00F47F10"/>
    <w:rsid w:val="00F66DC3"/>
    <w:rsid w:val="00F776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E6DA"/>
  <w15:chartTrackingRefBased/>
  <w15:docId w15:val="{C9943822-D53D-4AB4-A045-9C23D307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uiPriority w:val="99"/>
    <w:rsid w:val="00325355"/>
    <w:pPr>
      <w:widowControl w:val="0"/>
      <w:autoSpaceDE w:val="0"/>
      <w:autoSpaceDN w:val="0"/>
      <w:adjustRightInd w:val="0"/>
      <w:spacing w:after="0" w:line="240" w:lineRule="auto"/>
    </w:pPr>
    <w:rPr>
      <w:rFonts w:ascii="Arial" w:hAnsi="Arial" w:cs="Arial"/>
      <w:sz w:val="24"/>
      <w:szCs w:val="24"/>
      <w:lang w:val="x-none"/>
    </w:rPr>
  </w:style>
  <w:style w:type="paragraph" w:styleId="Kopfzeile">
    <w:name w:val="header"/>
    <w:basedOn w:val="Standard"/>
    <w:link w:val="KopfzeileZchn"/>
    <w:uiPriority w:val="99"/>
    <w:unhideWhenUsed/>
    <w:rsid w:val="00A42E9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42E91"/>
  </w:style>
  <w:style w:type="paragraph" w:styleId="Fuzeile">
    <w:name w:val="footer"/>
    <w:basedOn w:val="Standard"/>
    <w:link w:val="FuzeileZchn"/>
    <w:uiPriority w:val="99"/>
    <w:unhideWhenUsed/>
    <w:rsid w:val="00A42E9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42E91"/>
  </w:style>
  <w:style w:type="paragraph" w:styleId="Listenabsatz">
    <w:name w:val="List Paragraph"/>
    <w:basedOn w:val="Standard"/>
    <w:uiPriority w:val="34"/>
    <w:qFormat/>
    <w:rsid w:val="00BD2C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3278</Words>
  <Characters>20653</Characters>
  <Application>Microsoft Office Word</Application>
  <DocSecurity>0</DocSecurity>
  <Lines>172</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Harald Burgard Dr.</dc:creator>
  <cp:keywords/>
  <dc:description/>
  <cp:lastModifiedBy>Sandra Jurek</cp:lastModifiedBy>
  <cp:revision>9</cp:revision>
  <dcterms:created xsi:type="dcterms:W3CDTF">2022-10-28T07:47:00Z</dcterms:created>
  <dcterms:modified xsi:type="dcterms:W3CDTF">2026-05-26T10:33:00Z</dcterms:modified>
</cp:coreProperties>
</file>